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45 vom 14. Februar 2013</w:t>
      </w:r>
    </w:p>
    <w:p>
      <w:r>
        <w:t>VD Tribunal cantonal, 2013-02-14, FR</w:t>
      </w:r>
    </w:p>
    <w:p>
      <w:r>
        <w:rPr>
          <w:b/>
        </w:rPr>
        <w:t xml:space="preserve">Quelle: </w:t>
      </w:r>
      <w:r>
        <w:t>https://mcp.opencaselaw.ch/entscheid/vd_findinfo_Pron___2013___45</w:t>
      </w:r>
    </w:p>
    <w:p>
      <w:r>
        <w:t>FR: VD_FINDINFO Pron / 2013 / 45 du 14 février 2013</w:t>
      </w:r>
    </w:p>
    <w:p>
      <w:r>
        <w:t>IT: VD_FINDINFO Pron / 2013 / 45 del 14 febbraio 2013</w:t>
      </w:r>
    </w:p>
    <w:p>
      <w:pPr>
        <w:pStyle w:val="Heading2"/>
      </w:pPr>
      <w:r>
        <w:t>Regeste</w:t>
      </w:r>
    </w:p>
    <w:p>
      <w:r>
        <w:t>DÉCISION D'IRRECEVABILITÉ, MOTIVATION DE LA DÉCISION | 59 al. 1 CPC (CH), 59 al. 2 let. a CPC (CH)</w:t>
      </w:r>
    </w:p>
    <w:p>
      <w:pPr>
        <w:pStyle w:val="Heading2"/>
      </w:pPr>
      <w:r>
        <w:t>Volltext</w:t>
      </w:r>
    </w:p>
    <w:p>
      <w:r>
        <w:t>Vaud Tribunal cantonal Cour d'appel civile 14.02.2013 Pron / 2013 / 45</w:t>
      </w:r>
    </w:p>
    <w:p>
      <w:r>
        <w:t>DÉCISION D'IRRECEVABILITÉ, MOTIVATION DE LA DÉCISION | 59 al. 1 CPC (CH), 59 al. 2 let. a CPC (CH)</w:t>
      </w:r>
    </w:p>
    <w:p>
      <w:r>
        <w:t>TRIBUNAL CANTONAL JS12.047499-130302 95 JUGE DELEGUE DE LA cour d’appel CIVILE __________________________________________________________ Arrêt du 14 février 2013 __________________ Présidence de               M. GIROUD , juge délégué Greffier : M.              Bregnard ***** Art. 59 CPC Vu le prononcé rendu le 30 janvier 2013 par le Président du Tribunal civil d'arrondissement de la Côte dans la cause divisant Z.________ , à Founex, d’avec C.________ , à Aubonne, vu l'appel formé par Z.________ contre le prononcé précité concluant, sous suite de frais et dépens, à la modification d'un paragraphe, vu les autres pièces du dossier; attendu qu'aux termes de l'art. 59 al. 2 let. a CPC (Code de procédure civile du 19 décembre 2008; RS 272), le tribunal n'entre en matière que si le demandeur ou le requérant a un intérêt digne de protection, qu'un tel intérêt fait défaut lorsque la demande tend au constat d'un fait (Bohnet, CPC commenté, Bâle 2011, n. 90 ad art. 59 CPC), que l'appelant doit justifier d'un intérêt à la modification du dispositif du jugement de telle sorte que l'appel sur les motifs doit être déclaré irrecevable (Zürcher, ZPO Kommentar, 2e éd., Zurich / Bâle / Genève 2013, n. 14 ad art. 59 CPC; Poudret / Haldy / Tappy, Procédure civile vaudoise, 3e éd., Lausanne 2002, n. 4 ad art. 443 CPC-VD; ATF 111 II 398 c. 2b; ATF 118 II 108 c. 2c; TF 5C.89/2004 du 25 juin 2004, c. 2.2.1), qu'en l'espèce l'appelante ne conclut aucunement à la modification du dispositif mais à la rectification d'un élément retenu dans la motivation, que, dès lors, l'appel doit être déclaré irrecevable, faute d'intérêt digne de protection; attendu que le présent arrêt peut être rendu sans frais ni dépens. Par ces motifs, le juge délégué de la Cour d’appel civile du Tribunal cantonal, statuant à huis clos, prononce : I. L’appel est irrecevable. II. L'arrêt est rendu sans frais ni dépens. III. L'arrêt est exécutoire. Le juge délégué : Le greffier : Du L'arrêt qui précède, dont la rédaction a été approuvée à huis clos, est notifié à : ‑ Me Patricia Michellod (pour Z.________), ‑ Me Laurent Maire (pour C.________).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