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310 vom 9. Januar 2014</w:t>
      </w:r>
    </w:p>
    <w:p>
      <w:r>
        <w:t>VD Tribunal cantonal, 2014-01-09, FR</w:t>
      </w:r>
    </w:p>
    <w:p>
      <w:r>
        <w:rPr>
          <w:b/>
        </w:rPr>
        <w:t xml:space="preserve">Quelle: </w:t>
      </w:r>
      <w:r>
        <w:t>https://mcp.opencaselaw.ch/entscheid/vd_findinfo_Pron___2013___310</w:t>
      </w:r>
    </w:p>
    <w:p>
      <w:r>
        <w:t>FR: VD_FINDINFO Pron / 2013 / 310 du 9 janvier 2014</w:t>
      </w:r>
    </w:p>
    <w:p>
      <w:r>
        <w:t>IT: VD_FINDINFO Pron / 2013 / 310 del 9 gennaio 2014</w:t>
      </w:r>
    </w:p>
    <w:p>
      <w:pPr>
        <w:pStyle w:val="Heading2"/>
      </w:pPr>
      <w:r>
        <w:t>Regeste</w:t>
      </w:r>
    </w:p>
    <w:p>
      <w:r>
        <w:t>RECTIFICATION{EN GÉNÉRAL}, FRAIS{EN GÉNÉRAL} | 334 al. 1 CPC (CH), 334 CPC (CH)</w:t>
      </w:r>
    </w:p>
    <w:p>
      <w:pPr>
        <w:pStyle w:val="Heading2"/>
      </w:pPr>
      <w:r>
        <w:t>Volltext</w:t>
      </w:r>
    </w:p>
    <w:p>
      <w:r>
        <w:t>Vaud Tribunal cantonal Cour d'appel civile 09.01.2014 Pron / 2013 / 310</w:t>
      </w:r>
    </w:p>
    <w:p>
      <w:r>
        <w:t>RECTIFICATION{EN GÉNÉRAL}, FRAIS{EN GÉNÉRAL} | 334 al. 1 CPC (CH), 334 CPC (CH)</w:t>
      </w:r>
    </w:p>
    <w:p>
      <w:r>
        <w:t>TRIBUNAL CANTONAL TU10.025786-132089 16 JUGE DELEGUE DE LA cour d’appel CIVILE __________________________________________________________ Arrêt du 9 janvier 2014 ____________________ Présidence de               M. Giroud , juge délégué Greffière :              Mme Gabaz ***** Art. 334 CPC Vu l’arrêt rendu le 18 décembre 2013 par le Juge délégué de céans dans la cause divisant A.A.________ , à Denges, d’avec B.A.________ , à Echichens, selon lequel notamment l'appelante A.A.________ doit verser à l'intimé B.A.________ la somme de 300 fr. à titre de restitution d’avance de frais de deuxième instance, les dépens de deuxième instance étant compensés (IV), vu la demande de rectification déposée le 19 décembre 2013 par A.A.________, vu l'avis du 20 décembre 2013 du Juge délégué impartissant à B.A.________ un délai au 8 janvier 2014 pour se déterminer sur cette requête, vu les déterminations du 7 janvier 2014 de B.A.________, vu les autres pièces du dossier ; attendu que, selon le considérant 4 de l’arrêt du 18 décembre 2013, l'intimé B.A.________ devra verser à l'appelante A.A.________ le montant de 300 fr. à titre de restitution d'avance de frais, que le chiffre IV du dispositif de l'arrêt indique par erreur que l'appelante devra verser à l'intimé un montant de 300 fr. à titre de restitution d'avance de frais, que, selon l’art. 334 al. 1 CPC (Code de procédure civile du 19 décembre 2008, RS 272), le dispositif d’une décision peut être interprété ou rectifié, sur requête ou d’office, lorsqu’il est peu clair, contradictoire ou incomplet ou qu’il ne correspond pas à la motivation, qu’en application de cette disposition et au vu de l’erreur constatée, il y a lieu de rectifier le chiffre IV du dispositif de l’arrêt du 18 décembre 2013 en ce sens que l'intimé B.A.________ doit verser à l'appelante A.A.________ la somme de 300 fr. à titre de restitution d'avance de frais de deuxième instance, les dépens de deuxième instance étant compensés, qu'au surplus, B.A.________ ne s'oppose pas à cette rectification ; attendu qu’en application de l’art. 107 al. 2 CPC, le présent arrêt doit être rendu sans frais judiciaires dès lors que ceux-ci ne sont pas imputables aux parties. Par ces motifs, le Juge délégué de la Cour d’appel civile du Tribunal cantonal, statuant à huis clos, prononce : I. Le chiffre IV du dispositif de l’arrêt du 18 décembre 2013 est rectifié pour avoir la teneur suivante : IV. L'intimé B.A.________ doit verser à l'appelante A.A.________ la somme de 300 fr. à titre de restitution d'avance de frais de deuxième instance, les dépens de deuxième instance étant compensés. II. L'arrêt, rendus sans frais, est exécutoire. Le juge délégué : La greffière : Du L'arrêt qui précède, dont la rédaction a été approuvée à huis clos, est notifié à : ‑ Me Dominique Hahn (pour A.A.________), ‑ Me Anne-Marie Germanier Jaquinet (pour B.A.________).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