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237 vom 18. September 2013</w:t>
      </w:r>
    </w:p>
    <w:p>
      <w:r>
        <w:t>VD Tribunal cantonal, 2013-09-18, FR</w:t>
      </w:r>
    </w:p>
    <w:p>
      <w:r>
        <w:rPr>
          <w:b/>
        </w:rPr>
        <w:t xml:space="preserve">Quelle: </w:t>
      </w:r>
      <w:r>
        <w:t>https://mcp.opencaselaw.ch/entscheid/vd_findinfo_Pron___2013___237</w:t>
      </w:r>
    </w:p>
    <w:p>
      <w:r>
        <w:t>FR: VD_FINDINFO Pron / 2013 / 237 du 18 septembre 2013</w:t>
      </w:r>
    </w:p>
    <w:p>
      <w:r>
        <w:t>IT: VD_FINDINFO Pron / 2013 / 237 del 18 settembre 2013</w:t>
      </w:r>
    </w:p>
    <w:p>
      <w:pPr>
        <w:pStyle w:val="Heading2"/>
      </w:pPr>
      <w:r>
        <w:t>Regeste</w:t>
      </w:r>
    </w:p>
    <w:p>
      <w:r>
        <w:t>DÉCISION D'IRRECEVABILITÉ, MOTIVATION DE LA DEMANDE, CONCLUSIONS | 311 al. 1 CPC (CH)</w:t>
      </w:r>
    </w:p>
    <w:p>
      <w:pPr>
        <w:pStyle w:val="Heading2"/>
      </w:pPr>
      <w:r>
        <w:t>Volltext</w:t>
      </w:r>
    </w:p>
    <w:p>
      <w:r>
        <w:t>Vaud Tribunal cantonal Cour d'appel civile 18.09.2013 Pron / 2013 / 237</w:t>
      </w:r>
    </w:p>
    <w:p>
      <w:r>
        <w:t>DÉCISION D'IRRECEVABILITÉ, MOTIVATION DE LA DEMANDE, CONCLUSIONS | 311 al. 1 CPC (CH)</w:t>
      </w:r>
    </w:p>
    <w:p>
      <w:r>
        <w:t>TRIBUNAL CANTONAL JL13.019696-131770 459 cour d’appel CIVILE _____________________________ Arrêt du 18 septembre 2013 __________________ Présidence de               M. Colombini , président Juges :              M. Giroud et Mme Bendani Greffière :              Mme Girardet ***** Art. 311 al. 1 CPC Vu l'ordonnance rendue le 30 août 2013 par la Juge de paix du district de l'Ouest lausannois dans la cause divisant H.________ , à Ecublens, d’avec B.________SA , à Ecublens, vu l'appel formé le 3 septembre 2013 par H.________ contre cette ordonnance, vu les autres pièces du dossier; attendu qu'à teneur de l’art. 311 al. 1 CPC (Code de procédure civile du 19 décembre 2010; RS 272), l’appel doit être introduit par un acte écrit et motivé, que l’appelant a ainsi le fardeau d’expliquer les motifs pour lesquels la décision attaquée doit être annulée et modifiée, par référence à l'un et/ou l'autre des motifs prévus à l'art. 310 CPC (TF 4A_659/2011 du 7 décembre 2011, in SJ 2012 I 131 c. 3; Jeandin, CPC commenté, Bâle 2011, n. 3 ad art. 311 CPC, p. 1251), qu’il ne saurait être remédié à un défaut de motivation de l’appel par la fixation d’un délai à forme de l’art. 132 al. 1 CPC, un tel vice n'étant pas d'ordre purement formel et affectant l'appel de façon irréparable (TF 4A_651/2012 du 7 février 2013 c. 4.2; Jeandin, op. cit., n. 5 ad art. 311 CPC, pp. 1251-1252; Reetz/Theiler, Kommentar zur Schweizerischen Zivilprozessordnung, Sutter-Somm/ Hasenböhler/Leuenberger Hrsg, 2 ème éd., Zurich 2013, n. 38 ad art. 311 CPC, pp. 2166-2167), qu'à l'appui de son appel, H.________ se borne à demander "s'il y aurait une possibilité d'arrangement", que l’appel ne satisfait ainsi pas à l’exigence de motivation de l’art. 311 al. 1 CPC et doit être déclaré irrecevable; attendu que l'appel a un effet essentiellement réformatoire et doit comporter des conclusions au fond permettant à l'instance d'appel de statuer à nouveau (art. 318 al. 1 let. b CPC; TF 4A_659/2011 c. 4; Jeandin, op. cit., n. 4 ad art. 311 CPC, p. 1251), qu'en l'occurrence, l'appel est dépourvu de toutes conclusions et doit être déclaré irrecevable pour ce motif également, qu'au surplus, à supposer recevable, l'appel devrait être rejeté, l'ordonnance attaquée pouvant être confirmée par adoption des motifs exposés par le premier juge; attendu que le présent arrêt peut être rendu sans frais judiciaires. Par ces motifs, la Cour d’appel civile du Tribunal cantonal, statuant à huis clos, prononce : I. L’appel est irrecevable. II. L'arrêt, rendu sans frais, est exécutoire. Le président :               La greffière : Du L'arrêt qui précède, dont la rédaction a été approuvée à huis clos, est notifié à : ‑ Mme H.________, ‑ M. Jacques Decollogny (pour B.________SA).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