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19 vom 24. Januar 2013</w:t>
      </w:r>
    </w:p>
    <w:p>
      <w:r>
        <w:t>VD Tribunal cantonal, 2013-01-24, FR</w:t>
      </w:r>
    </w:p>
    <w:p>
      <w:r>
        <w:rPr>
          <w:b/>
        </w:rPr>
        <w:t xml:space="preserve">Quelle: </w:t>
      </w:r>
      <w:r>
        <w:t>https://mcp.opencaselaw.ch/entscheid/vd_findinfo_Pron___2013___19</w:t>
      </w:r>
    </w:p>
    <w:p>
      <w:r>
        <w:t>FR: VD_FINDINFO Pron / 2013 / 19 du 24 janvier 2013</w:t>
      </w:r>
    </w:p>
    <w:p>
      <w:r>
        <w:t>IT: VD_FINDINFO Pron / 2013 / 19 del 24 gennaio 2013</w:t>
      </w:r>
    </w:p>
    <w:p>
      <w:pPr>
        <w:pStyle w:val="Heading2"/>
      </w:pPr>
      <w:r>
        <w:t>Regeste</w:t>
      </w:r>
    </w:p>
    <w:p>
      <w:r>
        <w:t>DOMMAGE IRRÉPARABLE, DÉCISION D'IRRECEVABILITÉ | 126 CPC (CH), 319 let. b ch. 2 CPC (CH)</w:t>
      </w:r>
    </w:p>
    <w:p>
      <w:pPr>
        <w:pStyle w:val="Heading2"/>
      </w:pPr>
      <w:r>
        <w:t>Volltext</w:t>
      </w:r>
    </w:p>
    <w:p>
      <w:r>
        <w:t>Vaud Tribunal cantonal Chambre des recours civile 24.01.2013 Pron / 2013 / 19</w:t>
      </w:r>
    </w:p>
    <w:p>
      <w:r>
        <w:t>DOMMAGE IRRÉPARABLE, DÉCISION D'IRRECEVABILITÉ | 126 CPC (CH), 319 let. b ch. 2 CPC (CH)</w:t>
      </w:r>
    </w:p>
    <w:p>
      <w:r>
        <w:t>TRIBUNAL CANTONAL JI12.027084-130133 26 CHAMBRE DES RECOURS CIVILE _________________________________________ Arrêt du 24 janvier 2013 ___________________ Présidence de               M. CREUX , président Juges :              M. Colelough et Mme Crittin Dayen Greffier : M.              Bregnard ***** Art. 126 et 319 let. b ch. 2 CPC Vu le prononcé rendu le 5 décembre 2012 par le Président du Tribunal civil de l'arrondissement de Lausanne dans la cause divisant B.________ , à Lausanne, et R.________ , à Echallens, défendeurs, d’avec A.Q.________ et B.Q.________ , tous deux à St-Barthélemy, demandeurs, vu le recours exercé le 18 janvier 2013 par B.________ et R.________; attendu qu'il y a lieu préalablement d'examiner la recevabilité du recours, que selon l'art. 124 CPC (Code de procédure civile du 19 décembre 2008 ; RS 272), le tribunal conduit le procès et prend les décisions d'instruction nécessaires à la conduite de la procédure, qu'il peut en particulier ordonner la suspension de la procédure si des motifs d'opportunité le commandent (art. 126 al. 1 CPC), que l'ordonnance de suspension peut faire l'objet d'un recours selon l'art. 126 al. 2 CPC, qu'en revanche la décision de refus de suspension ne peut faire que l'objet du recours de l'art. 319 let. b ch. 2 CPC, dont la recevabilité suppose l'existence d'un préjudice difficilement réparable (cf. Jeandin, CPC commenté, Bâle 2011, n. 9 ad art. 326 CPC), que la notion de préjudice difficilement réparable vise non seulement un inconvénient de nature juridique mais aussi les désavantages de fait, qui peuvent être de nature financière ou temporelle, à condition qu'ils soient difficilement réparables (Jeandin, op. cit., n. 22 ad art. 319 CPC; Hohl, Procédure civile, tome II, 2 e éd., Berne 2010, n. 2485, p. 449), que cette notion est ainsi plus large que celle de "dommage irréparable" au sens de l'art. 93 al. 1 let. a LTF (Loi du 17 juin 2005 sur le Tribunal fédéral; RS 173.110; Jeandin, op. cit., n. 22 ad art. 319 CPC), que les recourants reprochent au premier juge de poursuivre la procédure civile, sans attendre les conclusions d'une procédure pénale ouverte pour les mêmes faits, qu'ils prétendent que la décision attaquée serait susceptible de provoquer un préjudice difficilement réparable en renvoyant à la motivation de leur requête d'effet suspensif qui indique que la poursuite de la procédure engendrerait des frais supplémentaires, qu'ils mentionnent en particulier le fait qu'une réponse devra être déposée, qu'ils ne démontrent toutefois pas en quoi le préjudice allégué serait difficilement réparable, qu'en cas de suspension de la procédure, les recourants devraient de toute manière déposer une réponse au moment de la reprise de la procédure, qu'en outre ce prétendu préjudice peut être facilement réparé puisque des dépens devraient être alloués aux recourants en cas de gain du procès, qu'en définitive le recours est irrecevable, que l'irrecevabilité étant manifeste, il n'y a pas lieu d'interpeller les intimés pour qu'ils se déterminent par écrit sur le recours (art. 322 al. 1 CPC; Jeandin, CPC commenté, n. 2 ad art. 322 CPC); attendu que le présent arrêt peut être rendu sans frais.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Me Mathias Burnand (pour B.________ et R.________), ‑ Me Alain Dubuis (pour A.Q.________ et B.Q.________).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