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18 vom 23. Januar 2013</w:t>
      </w:r>
    </w:p>
    <w:p>
      <w:r>
        <w:t>VD Tribunal cantonal, 2013-01-23, FR</w:t>
      </w:r>
    </w:p>
    <w:p>
      <w:r>
        <w:rPr>
          <w:b/>
        </w:rPr>
        <w:t xml:space="preserve">Quelle: </w:t>
      </w:r>
      <w:r>
        <w:t>https://mcp.opencaselaw.ch/entscheid/vd_findinfo_Pron___2013___18</w:t>
      </w:r>
    </w:p>
    <w:p>
      <w:r>
        <w:t>FR: VD_FINDINFO Pron / 2013 / 18 du 23 janvier 2013</w:t>
      </w:r>
    </w:p>
    <w:p>
      <w:r>
        <w:t>IT: VD_FINDINFO Pron / 2013 / 18 del 23 gennaio 2013</w:t>
      </w:r>
    </w:p>
    <w:p>
      <w:pPr>
        <w:pStyle w:val="Heading2"/>
      </w:pPr>
      <w:r>
        <w:t>Regeste</w:t>
      </w:r>
    </w:p>
    <w:p>
      <w:r>
        <w:t>DÉCISION D'IRRECEVABILITÉ, CONCLUSIONS, OBLIGATION DE CHIFFRER LES CONCLUSIONS | 221 CPC (CH), 308 CPC (CH), 311 al. 1 CPC (CH), 311 CPC (CH)</w:t>
      </w:r>
    </w:p>
    <w:p>
      <w:pPr>
        <w:pStyle w:val="Heading2"/>
      </w:pPr>
      <w:r>
        <w:t>Volltext</w:t>
      </w:r>
    </w:p>
    <w:p>
      <w:r>
        <w:t>Vaud Tribunal cantonal Cour d'appel civile 23.01.2013 Pron / 2013 / 18</w:t>
      </w:r>
    </w:p>
    <w:p>
      <w:r>
        <w:t>DÉCISION D'IRRECEVABILITÉ, CONCLUSIONS, OBLIGATION DE CHIFFRER LES CONCLUSIONS | 221 CPC (CH), 308 CPC (CH), 311 al. 1 CPC (CH), 311 CPC (CH)</w:t>
      </w:r>
    </w:p>
    <w:p>
      <w:r>
        <w:t>TRIBUNAL CANTONAL TP07.013140-130044 43 JUGE DELEGUE DE LA cour d’appel CIVILE __________________________________________________________ Arrêt du 23 janvier 2013 ____________________ Présidence de               M. Battistolo , juge délégué Greffier : Mme              Gabaz ***** Art. 221 al. 1 let. b et 311 al. 1 CPC Vu la convention signée le 12 décembre 2012 et ratifiée séance tenante par le Président du Tribunal d'arrondissement de l'Est vaudois pour valoir ordonnance de mesures provisionnelles et jugement partiel au fond sur les effets civils du divorce dans la cause divisant K.M.________ , à Grandvaux, d’avec I.M.________ , à Grandvaux, vu l'appel en langue anglaise interjeté le 21 décembre 2012 par K.M.________ contre la décision précitée, vu le courrier du Juge délégué de la Cour d'appel civile du 14 janvier 2013, impartissant à l'appelant, en application de l'art. 132 al. 1 et 2 CPC (Code de procédure civile du 19 décembre 2008; RS 272), un délai de cinq jours dès réception pour rectifier l'acte déposé car rédigé dans une langue qui n'est pas celle de la procédure, à défaut de quoi l'acte ne sera pas pris en considération, vu le nouvel acte en français déposé le 19 janvier 2013 par K.M.________, vu les autres pièces au dossier; attendu que, selon la jurisprudence du Tribunal fédéral, l’appel doit contenir des conclusions chiffrées, s’agissant de conclusions pécuniaires, sous peine d’irrecevabilité, et ce même lorsque la cause est soumise à la maxime d’office, soit notamment dans les procédures ayant trait aux enfants dans les affaires du droit de la famille (ATF 137 III 617 c. 4 et 5, RSPC 2012, p. 221 et SJ 2012 I 373), qu'en pareil cas, il n'appartient pas à l'instance d'appel de fixer un délai à l'appelant pour faire préciser ses conclusions si celles-ci ne sont pas suffisamment précises, l'art. 132 al. 1 et 2 CPC ne s'appliquant pas dans une telle situation (ibidem), que la Cour d’appel civile, respectivement le juge délégué, peut exceptionnellement entrer en matière sur des conclusions déficientes, pour autant que l’on comprenne, à la lecture de la motivation du mémoire d’appel, ce que demande l’appelant, respectivement à quel montant il prétend (ibidem), qu'en l'espèce, l'appelant réclame un réajustement des contributions d'entretien convenues, sans cependant les chiffrer, que l’on ne comprend de surcroît pas à la lecture de la motivation de son appel quel montant il serait disposé à payer, que l’appel doit par conséquent être déclaré irrecevable, sans qu’il faille impartir un délai selon l’art. 132 al. 2 CPC à l’appelant pour compléter sa procédure, que l'arrêt est rendu sans frais judiciaires. Par ces motifs, le juge délégué de la Cour d’appel civile du Tribunal cantonal, statuant à huis clos, prononce : I. L’appel est irrecevable. II. L'arrêt, rendu sans frais, est exécutoire. Le juge délégué : La greffière : Du L'arrêt qui précède, dont la rédaction a été approuvée à huis clos, est notifié à : ‑ M. K.M.________, ‑ Me Yvan Guichard (pour I.M.________).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