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92 vom 27. April 2012</w:t>
      </w:r>
    </w:p>
    <w:p>
      <w:r>
        <w:t>VD Tribunal cantonal, 2012-04-27, FR</w:t>
      </w:r>
    </w:p>
    <w:p>
      <w:r>
        <w:rPr>
          <w:b/>
        </w:rPr>
        <w:t xml:space="preserve">Quelle: </w:t>
      </w:r>
      <w:r>
        <w:t>https://mcp.opencaselaw.ch/entscheid/vd_findinfo_Pron___2012___92</w:t>
      </w:r>
    </w:p>
    <w:p>
      <w:r>
        <w:t>FR: VD_FINDINFO Pron / 2012 / 92 du 27 avril 2012</w:t>
      </w:r>
    </w:p>
    <w:p>
      <w:r>
        <w:t>IT: VD_FINDINFO Pron / 2012 / 92 del 27 aprile 2012</w:t>
      </w:r>
    </w:p>
    <w:p>
      <w:pPr>
        <w:pStyle w:val="Heading2"/>
      </w:pPr>
      <w:r>
        <w:t>Regeste</w:t>
      </w:r>
    </w:p>
    <w:p>
      <w:r>
        <w:t>INVENTAIRE, SUCCESSION, VOIE DE DROIT PRÉMATURÉE | 553 CC, 248 CPC (CH), 109 al. 3 CDPJ, 117 CDPJ, 118 CDPJ</w:t>
      </w:r>
    </w:p>
    <w:p>
      <w:pPr>
        <w:pStyle w:val="Heading2"/>
      </w:pPr>
      <w:r>
        <w:t>Volltext</w:t>
      </w:r>
    </w:p>
    <w:p>
      <w:r>
        <w:t>Vaud Tribunal cantonal Chambre des recours civile 27.04.2012 Pron / 2012 / 92</w:t>
      </w:r>
    </w:p>
    <w:p>
      <w:r>
        <w:t>INVENTAIRE, SUCCESSION, VOIE DE DROIT PRÉMATURÉE | 553 CC, 248 CPC (CH), 109 al. 3 CDPJ, 117 CDPJ, 118 CDPJ</w:t>
      </w:r>
    </w:p>
    <w:p>
      <w:r>
        <w:t>TRIBUNAL CANTONAL HN12.015761-120741 160 CHAMBRE DES RECOURS CIVILE _________________________________________ Arrêt du 27 avril 2012 ___________________ Présidence de               M. Creux , président Juges :              M. Pellet et Mme Crittin Greffier : M.              Bregnard ***** Art. 553 CC, 248 let. e CPC, 109 al. 3, 117 et 118 CDPJ Vu l'inventaire civil dressé le 11 avril 2012 par le Juge de paix du district de Lausanne dans le cadre de la succession de feu [...], décédé le 1 er octobre 2010 à Lausanne, vu le recours interjeté le 20 avril 2012 par le représentant de D.________ concluant à l'annulation de l'inventaire civil, vu la requête en modification préalable de l'inventaire civil adressée le même jour par le représentant de la recourante à la Justice de paix du district de Lausanne; attendu que l'inventaire prévu à l'art. 553 CC (Code civil suisse du 10 décembre 1907; RS 210) est désormais régi par l'art. 117 CDPJ (Code de droit privé judiciaire vaudois du 12 janvier 2010; RSV 211.01), qu'il relève de la juridiction gracieuse (cf. CDPJ; section II),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 que lorsque la procédure sommaire est applicable, seul le recours limité au droit est recevable (art. 109 al. 3 CDPJ), que la jurisprudence vaudoise antérieure au 1 er janvier 2011, qui reste d'actualité, subordonnait l'ouverture d'un recours contre le contenu d'un inventaire civil à une demande de rectification préalable (JT 1983 III 114 c.5), qu'en l'espèce, le Juge de paix du district de Lausanne n'a pas encore statué sur la requête en modification préalable déposée par la recourante parallèlement à son recours, que le recours est dès lors prématuré et doit être déclaré irrecevable; attendu que le tribunal statue dans la décision finale sur les frais (art. 104 al. 1 CPC), qui sont fixés selon le droit cantonal (art. 96 CPC), qu'aucune avance de frais n'ayant été effectuée, le présent arrêt peut être rendu sans frais judiciaires (cf. art. 11 al. 1 TFJC [tarif des frais judiciaires civils du 28 septembre 2010; RSV 270.11.5] par analogie).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Pierre-André Béguin (pour D.________), ‑ Me Jean-Pierre Gross (pour A.P.________, B.P.________, C.P.________, D.P.________ et E.P.________), - Me Jean-Philippe Rochat (pour Mes A.E.________ et B.E.________).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