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268 vom 17. Dezember 2012</w:t>
      </w:r>
    </w:p>
    <w:p>
      <w:r>
        <w:t>VD Tribunal cantonal, 2012-12-17, FR</w:t>
      </w:r>
    </w:p>
    <w:p>
      <w:r>
        <w:rPr>
          <w:b/>
        </w:rPr>
        <w:t xml:space="preserve">Quelle: </w:t>
      </w:r>
      <w:r>
        <w:t>https://mcp.opencaselaw.ch/entscheid/vd_findinfo_Pron___2012___268</w:t>
      </w:r>
    </w:p>
    <w:p>
      <w:r>
        <w:t>FR: VD_FINDINFO Pron / 2012 / 268 du 17 décembre 2012</w:t>
      </w:r>
    </w:p>
    <w:p>
      <w:r>
        <w:t>IT: VD_FINDINFO Pron / 2012 / 268 del 17 dicembre 2012</w:t>
      </w:r>
    </w:p>
    <w:p>
      <w:pPr>
        <w:pStyle w:val="Heading2"/>
      </w:pPr>
      <w:r>
        <w:t>Regeste</w:t>
      </w:r>
    </w:p>
    <w:p>
      <w:r>
        <w:t>CURATELLE DE GESTION, CURATELLE DE REPRÉSENTATION, DÉCISION D'IRRECEVABILITÉ, MORT | 392 ch. 1 CC, 393 ch. 2 CC, 420 CC, 489 CPC</w:t>
      </w:r>
    </w:p>
    <w:p>
      <w:pPr>
        <w:pStyle w:val="Heading2"/>
      </w:pPr>
      <w:r>
        <w:t>Volltext</w:t>
      </w:r>
    </w:p>
    <w:p>
      <w:r>
        <w:t>Vaud Tribunal cantonal Chambre des tutelles 17.12.2012 Pron / 2012 / 268</w:t>
      </w:r>
    </w:p>
    <w:p>
      <w:r>
        <w:t>CURATELLE DE GESTION, CURATELLE DE REPRÉSENTATION, DÉCISION D'IRRECEVABILITÉ, MORT | 392 ch. 1 CC, 393 ch. 2 CC, 420 CC, 489 CPC</w:t>
      </w:r>
    </w:p>
    <w:p>
      <w:r>
        <w:t>TRIBUNAL CANTONAL IK12.033259-121655 294 CHAMBRE DES TUTELLES ________________________________ Arrêt du 17 décembre 2012 ____________________________ Présidence de               M. G I R O U D, président Juges :              MM. Creux et Abrecht Greffier : Mme              Bourckholzer ***** Art. 392 ch. 1 et 393 ch. 2, 420 CC; 489 ss CPC-VD Vu la décision du 16 août 2012, adressée pour notification le 21 août 2012, par laquelle la Justice de paix du district de Lausanne (ci-après : la Justice de paix) a notamment institué une curatelle au sens des art. 392 ch. 1 et 393 ch. 2 CC (Code civil suisse du 10 décembre 1907, RS 210) en faveur de P.________ , né le [...] 1929, à [...] (I), et nommé un curateur au pupille (II), vu le recours interjeté contre cette décision, posté par le pupille le 7  septembre 2012, vu le courrier complémentaire du recourant, mis à la poste le 21 septembre 2012, vu la lettre de l'avocat [...], du 26 novembre 2012, informant la Chambre des tutelles du décès du recourant, survenu le [...] 2012, et accompagnée de l'acte de décès du défunt, vu les pièces au dossier; attendu que le recours est dirigé contre une décision de l'autorité tuté­laire instituant une mesure de curatelle de représentation et de gestion à forme des art. 392 ch. 1 et 393 ch. 2 CC (Code civil suisse du 10 décembre 1907, RS 210) en faveur de P.________, que, contre une telle décision, la voie du recours à l'au­to­rité de surveil­lance, soit la Chambre des tutelles (art. 76 LOJV, Loi d'organi­sation judiciaire du 12 décembre 1979, RSV 173.01), est ouverte (CTUT 22 novembre 2011/185; CTUT 3 octobre 2009/226), que ce recours relève de la procédure non contentieuse et s'instruit selon les formes prévues aux art. 489 ss CPC-VD (Code de procédure civile du 14 décembre 1966, RSV 270.11) qui restent applicables (art. 174 al. 2 CDPJ, Code de droit privé judiciaire vaudois du 12 janvier 2010, RSV 211.01), que le recours est ouvert au pupille capable de discernement et à tout intéressé (art. 420 al. 1 CPC-VD, par analogie) dans les dix jours dès la communica­tion de la décision attaquée (art. 492 al. 1 et 2 CPC-VD), qu'un recours peut devenir sans objet en raison d'un fait postérieur à son dépôt (Poudret, Commentaire de la loi fédérale d'organisation judiciaire, vol. I, Berne 1990, n. 2 ad art. 40 OJ, p. 345, et la jurisprudence citée ad art. 72 PCF, et vol. II, Berne 1990, n. 5.5 ad art. 53 OJ, p. 391), qu'en l'espèce, le pupille P.________ est décédé le [...] 2012, selon l'acte de décès du [...] 2012 transmis à la Cour de céans, que la curatelle et le rôle du curateur prennent fin avec le décès du pupille (cf. Geiser, Basler Kommentar, 4 e éd., 2010, n. 2 ad Vorbemerkungen zu Art. 431-456 CC, p. 2193), que, P.________ étant décédé, son recours est devenu sans objet, qu'il convient d'en prendre acte et de rayer la cause du rôle ;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Le recours n'a plus d'objet. II. La cause est rayée du rôle. III. L'arrêt, rendu sans frais, est exécutoire. Le président :              La greffière : Du L'arrêt qui précède, dont la rédaction a été approuvée à huis clos, est notifié à : - Me Guy Longchamp (pour feu P.________), ‑ [...], - [...]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