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251 vom 2. November 2012</w:t>
      </w:r>
    </w:p>
    <w:p>
      <w:r>
        <w:t>VD Tribunal cantonal, 2012-11-02, FR</w:t>
      </w:r>
    </w:p>
    <w:p>
      <w:r>
        <w:rPr>
          <w:b/>
        </w:rPr>
        <w:t xml:space="preserve">Quelle: </w:t>
      </w:r>
      <w:r>
        <w:t>https://mcp.opencaselaw.ch/entscheid/vd_findinfo_Pron___2012___251</w:t>
      </w:r>
    </w:p>
    <w:p>
      <w:r>
        <w:t>FR: VD_FINDINFO Pron / 2012 / 251 du 2 novembre 2012</w:t>
      </w:r>
    </w:p>
    <w:p>
      <w:r>
        <w:t>IT: VD_FINDINFO Pron / 2012 / 251 del 2 novembre 2012</w:t>
      </w:r>
    </w:p>
    <w:p>
      <w:pPr>
        <w:pStyle w:val="Heading2"/>
      </w:pPr>
      <w:r>
        <w:t>Regeste</w:t>
      </w:r>
    </w:p>
    <w:p>
      <w:r>
        <w:t>DÉCISION D'IRRECEVABILITÉ | 132 al. 1 CPC (CH)</w:t>
      </w:r>
    </w:p>
    <w:p>
      <w:pPr>
        <w:pStyle w:val="Heading2"/>
      </w:pPr>
      <w:r>
        <w:t>Volltext</w:t>
      </w:r>
    </w:p>
    <w:p>
      <w:r>
        <w:t>Vaud Tribunal cantonal Chambre des recours civile 02.11.2012 Pron / 2012 / 251</w:t>
      </w:r>
    </w:p>
    <w:p>
      <w:r>
        <w:t>DÉCISION D'IRRECEVABILITÉ | 132 al. 1 CPC (CH)</w:t>
      </w:r>
    </w:p>
    <w:p>
      <w:r>
        <w:t>TRIBUNAL CANTONAL JJ12.015479-121586 392 CHAMBRE DES RECOURS CIVILE _________________________________________ Arrêt du 2 novembre 2012 ____________________ Présidence de               M. CREUX, président Juges :              M. Winzap et Mme Charif Feller Greffier : Mme              Michod Pfister ***** Art. 132 al. 1 CPC Vu la décision rendue le 22 août 2012 par le Juge de paix du district de Morges dans la cause divisant G.________ AG , à Reinach (BL), demanderesse, d’avec Q.________ Sàrl , à Aubonne, défenderesse, vu le recours interjeté le 30 août 2012 par G.________ AG contre cette décision, vu le courrier du 16 octobre 2012 du président de la cour de céans, invitant la recourante, dans un délai de cinq jours dès réception, à produire une procuration en faveur de la signataire du recours, sous peine d'irrecevabilité, vu les autres pièces au dossier ; attendu que selon l'art. 132 al. 1 CPC, le tribunal fixe un délai pour la rectification des vices de formes telle l’absence de signature ou de procuration et qu'à défaut de rectification dans le délai imparti, l'acte n'est pas pris en considération ; attendu qu'en l'espèce G.________ AG ne s'est pas exécutée dans le délai imparti, que, partant, le recours est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La greffière : Du L'arrêt qui précède, dont la rédaction a été approuvée à huis clos, est notifié à : ‑ G.________ AG, ‑ Q.________ Sàrl. La Chambre des recours civile considère que la valeur litigieuse est inférieure à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