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210 vom 18. September 2012</w:t>
      </w:r>
    </w:p>
    <w:p>
      <w:r>
        <w:t>VD Tribunal cantonal, 2012-09-18, FR</w:t>
      </w:r>
    </w:p>
    <w:p>
      <w:r>
        <w:rPr>
          <w:b/>
        </w:rPr>
        <w:t xml:space="preserve">Quelle: </w:t>
      </w:r>
      <w:r>
        <w:t>https://mcp.opencaselaw.ch/entscheid/vd_findinfo_Pron___2012___210</w:t>
      </w:r>
    </w:p>
    <w:p>
      <w:r>
        <w:t>FR: VD_FINDINFO Pron / 2012 / 210 du 18 septembre 2012</w:t>
      </w:r>
    </w:p>
    <w:p>
      <w:r>
        <w:t>IT: VD_FINDINFO Pron / 2012 / 210 del 18 settembre 2012</w:t>
      </w:r>
    </w:p>
    <w:p>
      <w:pPr>
        <w:pStyle w:val="Heading2"/>
      </w:pPr>
      <w:r>
        <w:t>Regeste</w:t>
      </w:r>
    </w:p>
    <w:p>
      <w:r>
        <w:t>FRAIS D'EXPERTISE | 242 al. 1 CPC, 242 al. 2 CPC, 242 CPC</w:t>
      </w:r>
    </w:p>
    <w:p>
      <w:pPr>
        <w:pStyle w:val="Heading2"/>
      </w:pPr>
      <w:r>
        <w:t>Volltext</w:t>
      </w:r>
    </w:p>
    <w:p>
      <w:r>
        <w:t>Vaud Tribunal cantonal Cour civile 18.09.2012 Pron / 2012 / 210</w:t>
      </w:r>
    </w:p>
    <w:p>
      <w:r>
        <w:t>FRAIS D'EXPERTISE | 242 al. 1 CPC, 242 al. 2 CPC, 242 CPC</w:t>
      </w:r>
    </w:p>
    <w:p>
      <w:r>
        <w:t>TRIBUNAL CANTONAL CT09.040210 111/2012/SNR COUR CIVILE _________________ Prononcé du juge instructeur dans la cause divisant X.________ , à Blaesheim (France), d'avec Y.________ , à Yverdon-les-Bains. ___________________________________________________________________ Du 18 septembre 2012 __________________ Vu le procès ouvert par demande du 2 décembre 2009 devant la Cour civile du Tribunal cantonal par le demandeur X.________ contre la défenderesse Y.________, vu le chiffre V de l'ordonnance sur preuves du 18 mai 2011 par lequel le juge instructeur a nommé Claude Ramseyer, ingénieur SIA, comme expert, vu le courrier de l’expert pressenti du 23 juin 2011, acceptant la mission et estimant ses honoraires prévisibles à 15'850 fr., vu l’avance de frais effectuée par le demandeur, instant à l’expertise, vu le rapport d'expertise et la note d’honoraires et débours de 15'850 fr. déposés le 26 juin 2012 par l’expert, vu le relevé détaillé de ses opérations et frais produit par l’expert le 14 août 2012, vu la lettre du conseil du demandeur, du 27 août 2012, contestant la note d'honoraires de l'expert, vu les déterminations de la défenderesse du 4 septembre 2012, vu la lettre de l’expert du 13 septembre 2012, justifiant sa note d'honoraires;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le 2 décembre 2009, que par conséquent, la présente procédure est régie par l'ancien droit;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28 août 2009/31; Pdt TC 13 juillet 2010/43 et les références citées); attendu que le demandeur soutient que l’expertise est inexploitable car elle ne répondrait pas aux allégués 90, 90bis et 90ter, que cette affirmation est inexacte, l’expert répondant à ces allégations en page 21 de son rapport, et y exposant les motifs de son appréciation; attendu que le demandeur soutient ensuite que « certaines opérations n’ont pas lieu d’être », qu’en particulier il n’était pas demandé à l’expert d’analyser certaines questions liées aux brevets, ou d’effectuer des recherches liées aux lignes d’embouteillage ou au processus industriel mis en place par la défenderesse, que ces recherches ont pourtant pour but de répondre aux allégations du demandeur, que la complexité du domaine (brevets) impose de laisser une certaine marge de manœuvre à l’expert dans l’appréciation des mesures d’investigation nécessaires à sa mission; attendu que le demandeur estime excessives et injustifiées les heures consacrées à la lecture et à l’étude des pièces du dossier, que le dossier est toutefois volumineux et porte sur des questions techniquement très pointues, qu’en cours de procédure d’expertise le demandeur a fourni à trois reprises des documents supplémentaires à l’expert, que les heures consacrées à l’étude du dossier n’ont dès lors rien d’excessif, attendu en définitive, que l'expert a établi un rapport de vingt-trois pages comportant en outre quinze annexes, qu’il indique avoir dû y consacrer 79,5 heures de travail, qu'au tarif horaire d'expert de 200 fr., cela représente déjà 15'900 fr., soit plus que le montant facturé, conforme au devis, que la note d'honoraires et débours, par 15’850 fr., est donc justifiée, qu'il convient par conséquent d'arrêter les honoraires de l'expert au montant réclamé par celui-ci; attendu que le présent prononcé peut être rendu sans frais ni dépens. Par ces motifs, le juge instructeur, statuant à huis clos, prononce : I. La note d'honoraires et débours de l'expert Claude Ramseyer, du 26 juin 2012, est arrêtée à 15'850 fr. (quinze mille huit cent cinquante francs). II. Le présent prononcé est rendu sans frais ni dépens. Le juge instructeur :              Le greffier : S. Rouleau              C. Maradan Du Le prononcé qui précède, lu et approuvé à huis clos, prend date de ce jour. Il est notifié, par l'envoi de photocopies, aux conseils des parties ainsi qu'à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