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199 vom 10. September 2012</w:t>
      </w:r>
    </w:p>
    <w:p>
      <w:r>
        <w:t>VD Tribunal cantonal, 2012-09-10, FR</w:t>
      </w:r>
    </w:p>
    <w:p>
      <w:r>
        <w:rPr>
          <w:b/>
        </w:rPr>
        <w:t xml:space="preserve">Quelle: </w:t>
      </w:r>
      <w:r>
        <w:t>https://mcp.opencaselaw.ch/entscheid/vd_findinfo_Pron___2012___199</w:t>
      </w:r>
    </w:p>
    <w:p>
      <w:r>
        <w:t>FR: VD_FINDINFO Pron / 2012 / 199 du 10 septembre 2012</w:t>
      </w:r>
    </w:p>
    <w:p>
      <w:r>
        <w:t>IT: VD_FINDINFO Pron / 2012 / 199 del 10 settembre 2012</w:t>
      </w:r>
    </w:p>
    <w:p>
      <w:pPr>
        <w:pStyle w:val="Heading2"/>
      </w:pPr>
      <w:r>
        <w:t>Regeste</w:t>
      </w:r>
    </w:p>
    <w:p>
      <w:r>
        <w:t>DÉCISION D'IRRECEVABILITÉ | 132 CPC (CH), 56 CPC (CH)</w:t>
      </w:r>
    </w:p>
    <w:p>
      <w:pPr>
        <w:pStyle w:val="Heading2"/>
      </w:pPr>
      <w:r>
        <w:t>Volltext</w:t>
      </w:r>
    </w:p>
    <w:p>
      <w:r>
        <w:t>Vaud Tribunal cantonal Cour d'appel civile 10.09.2012 Pron / 2012 / 199</w:t>
      </w:r>
    </w:p>
    <w:p>
      <w:r>
        <w:t>DÉCISION D'IRRECEVABILITÉ | 132 CPC (CH), 56 CPC (CH)</w:t>
      </w:r>
    </w:p>
    <w:p>
      <w:r>
        <w:t>TRIBUNAL CANTONAL JS10.018345-121524 414 cour d’appel CIVILE __________________________________________________________ Arrêt du 10 septembre 2012 ______________________ Présidence de               M. Colombini , président Juges :              Mmes Bendani et Crittin Dayen Greffier : M.              Schwab ***** Art. 56, 132 CPC Vu le jugement par défaut rendu le 25 mai 2012 par le Président du Tribunal civil de l'arrondissement de Lausanne dans la cause divisant G.________ , à Genève, défendeur, d’avec Z.________ , à Renens, demanderesse, vu l'appel interjeté contre ce jugement par G.________ au moyen d'un mémoire daté du 11 juin 2012, reçu le 25 juin 2012 par le greffe du Tribunal civil de l'arrondissement de Lausanne et transmis le 22 août 2012 à la Cour d'appel civile du Tribunal cantonal, vu les autres pièces du dossier; attendu que, selon la jurisprudence du Tribunal fédéral, l’appel doit contenir des conclusions chiffrées, s’agissant de conclusions pécuniaires, sous peine d’irrecevabilité, et ce même lorsque la cause est soumise à la maxime d’office, dans la mesure où il ne saurait être remédié à ce vice par la fixation d'un délai de l'art. 132 CPC (ATF 137 III 617 c. 4 et 5), que la Cour d’appel civile peut exceptionnellement entrer en matière sur des conclusions formellement déficientes, pour autant que l’on comprenne, à la lecture de la motivation du mémoire d’appel, ce que demande l’appelant, respectivement à quel montant il prétend, les conclusions devant en effet être interprétées à la lumière de la motivation de l'appel (ATF 137 III 617 c. 6.2), qu'en l'espèce, l'appelant conteste être le père de l'enfant Z.________, concluant ainsi implicitement à être libéré du paiement de toute pension alimentaire, qu'il convient ainsi d'entrer en matière sur les conclusions de G.________, qu'il résulte cependant des pièces du dossier que l'intéressé est effectivement le père de l'enfant, de sorte que son appel est mal fondé sur ce point, que l'appelant requiert également la fixation d'un droit de visite, qu'il n'avait toutefois formulé aucune conclusion à ce sujet en première instance, qu'il y a ainsi lieu de le renvoyer devant le premier juge pour qu'il fasse valoir son droit de visite, de manière à respecter le principe de la double instance, que, pour le reste, l'appel est irrecevable faute de conclusions chiffrées et motivation suffisante; attendu que l'arrêt est rendu sans frais judiciaires. Par ces motifs, la Cour d’appel civile du Tribunal cantonal, statuant à huis clos, prononce : I. L’appel est rejeté dans la mesure où il est recevable. II. L'arrêt, rendu sans frais judiciaires, est exécutoire. Le président :               Le greffier : Du L'arrêt qui précède, dont la rédaction a été approuvée à huis clos, est notifié à : ‑ M. G.________, ‑ Me Annie Schnitzler (pour Z.________), - Mme [...] (pour Z.________)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