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186 vom 27. August 2012</w:t>
      </w:r>
    </w:p>
    <w:p>
      <w:r>
        <w:t>VD Tribunal cantonal, 2012-08-27, FR</w:t>
      </w:r>
    </w:p>
    <w:p>
      <w:r>
        <w:rPr>
          <w:b/>
        </w:rPr>
        <w:t xml:space="preserve">Quelle: </w:t>
      </w:r>
      <w:r>
        <w:t>https://mcp.opencaselaw.ch/entscheid/vd_findinfo_Pron___2012___186</w:t>
      </w:r>
    </w:p>
    <w:p>
      <w:r>
        <w:t>FR: VD_FINDINFO Pron / 2012 / 186 du 27 août 2012</w:t>
      </w:r>
    </w:p>
    <w:p>
      <w:r>
        <w:t>IT: VD_FINDINFO Pron / 2012 / 186 del 27 agosto 2012</w:t>
      </w:r>
    </w:p>
    <w:p>
      <w:pPr>
        <w:pStyle w:val="Heading2"/>
      </w:pPr>
      <w:r>
        <w:t>Regeste</w:t>
      </w:r>
    </w:p>
    <w:p>
      <w:r>
        <w:t>RECTIFICATION{EN GÉNÉRAL}, DÉCISION D'IRRECEVABILITÉ | 321 al. 1 CPC (CH), 334 al. 3 CPC (CH)</w:t>
      </w:r>
    </w:p>
    <w:p>
      <w:pPr>
        <w:pStyle w:val="Heading2"/>
      </w:pPr>
      <w:r>
        <w:t>Volltext</w:t>
      </w:r>
    </w:p>
    <w:p>
      <w:r>
        <w:t>Vaud Tribunal cantonal Chambre des recours civile 27.08.2012 Pron / 2012 / 186</w:t>
      </w:r>
    </w:p>
    <w:p>
      <w:r>
        <w:t>RECTIFICATION{EN GÉNÉRAL}, DÉCISION D'IRRECEVABILITÉ | 321 al. 1 CPC (CH), 334 al. 3 CPC (CH)</w:t>
      </w:r>
    </w:p>
    <w:p>
      <w:r>
        <w:t>TRIBUNAL CANTONAL JI11.028756-121533 297 CHAMBRE DES RECOURS CIVILE _________________________________________ Arrêt du 27 août 2012 __________________ Présidence de               M. CREUX, président Juges :              MM. Giroud et Colelough Greffier : M.              Bregnard ***** Art. 321 al. 1 et 334 al. 3 CPC Vu le jugement rectificatif rendu le 9 août 2012 par le Président du Tribunal civil de l'arrondissement de la Broye et du Nord-vaudois dans la cause divisant M.________ et F.________ , tous deux à Montaubion-Chardon, défendeurs, d’avec U.________ , à Lausanne, demanderesse, vu les recours déposés le 21 août 2012 par M.________ et F.________, vu les autres pièces du dossier; attendu que selon l'art. 334 al. 3 CPC, la décision d'interprétation ou de rectification peut faire l'objet d'un recours, que le recourant ne peut se limiter à conclure à l'annulation de la décision attaquée et doit prendre des conclusions au fond, sous peine d'irrecevabilité du recours (Jeandin, Code de procédure civile commenté, Bâle 2011, n. 5 ad art. 321 CPC et n. 4 ad art. 311 CPC), qu'on ne saurait remédier à des conclusions déficientes en accordant un bref délai au recourant, de tels vices affectant le recours de façon irréparable (Jeandin, op. cit, , n. 2 ad art. 321 et renvoi à n. 5 ad art. 311), qu'en l'occurrence, les recourants concluent à l'annulation du jugement sans toutefois prendre de conclusions au fond, qu'il y a dès lors lieu de déclarer le recours irrecevable, attendu que la question de la tardiveté du recours peut ainsi rester indécise; attendu que le présent arrêt peut être rendu sans frais judiciaires. Par ces motifs, la Chambre des recours civile du Tribunal cantonal, statuant à huis clos, prononce : I. Le recours est irrecevable. II. L'arrêt, rendu sans frais judicaires, est exécutoire. Le président :               Le greffier : Du L'arrêt qui précède, dont la rédaction a été approuvée à huis clos, est notifié à : ‑ M. M.________ et Mme F.________, ‑ M. Thierry Zumbach, aab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