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180 vom 22. August 2012</w:t>
      </w:r>
    </w:p>
    <w:p>
      <w:r>
        <w:t>VD Tribunal cantonal, 2012-08-22, FR</w:t>
      </w:r>
    </w:p>
    <w:p>
      <w:r>
        <w:rPr>
          <w:b/>
        </w:rPr>
        <w:t xml:space="preserve">Quelle: </w:t>
      </w:r>
      <w:r>
        <w:t>https://mcp.opencaselaw.ch/entscheid/vd_findinfo_Pron___2012___180</w:t>
      </w:r>
    </w:p>
    <w:p>
      <w:r>
        <w:t>FR: VD_FINDINFO Pron / 2012 / 180 du 22 août 2012</w:t>
      </w:r>
    </w:p>
    <w:p>
      <w:r>
        <w:t>IT: VD_FINDINFO Pron / 2012 / 180 del 22 agosto 2012</w:t>
      </w:r>
    </w:p>
    <w:p>
      <w:pPr>
        <w:pStyle w:val="Heading2"/>
      </w:pPr>
      <w:r>
        <w:t>Regeste</w:t>
      </w:r>
    </w:p>
    <w:p>
      <w:r>
        <w:t>ACTE DE NON-CONCILIATION, DÉCISION D'IRRECEVABILITÉ | 209 CPC (CH), 319 let. b ch. 2 CPC (CH)</w:t>
      </w:r>
    </w:p>
    <w:p>
      <w:pPr>
        <w:pStyle w:val="Heading2"/>
      </w:pPr>
      <w:r>
        <w:t>Volltext</w:t>
      </w:r>
    </w:p>
    <w:p>
      <w:r>
        <w:t>Vaud Tribunal cantonal Chambre des recours civile 22.08.2012 Pron / 2012 / 180</w:t>
      </w:r>
    </w:p>
    <w:p>
      <w:r>
        <w:t>ACTE DE NON-CONCILIATION, DÉCISION D'IRRECEVABILITÉ | 209 CPC (CH), 319 let. b ch. 2 CPC (CH)</w:t>
      </w:r>
    </w:p>
    <w:p>
      <w:r>
        <w:t>TRIBUNAL CANTONAL P512.020281-121493 285 CHAMBRE DES RECOURS CIVILE _________________________________________ Arrêt du 22 août 2012 _________________ Présidence de               M. Creux , président Juges :              MM. Winzap et Colelough Greffier : M.              Elsig ***** Art. 209, 319 let. b ch. 2 CPC Vu l'autorisation de procéder délivrée le 4 juillet 2012 par le Président du Tribunal de prud'hommes de l'arrondissement de l'Est vaudois à V.________ , à Montreux dans la cause le divisant d'avec A.K.________ , à Glion, et B.K.________ , Aux Avants, vu le recours interjeté le 15 août 2012 contre cette autorisation de procéder par A.K.________, qui requiert le relief, vu les autres pièces du dossier, attendu que, selon l’art. 319 let. b CPC (Code de procédure civile suisse du 19 décembre 2008; RS 272), le recours est ouvert contre les ordonnances d’instruction et les décisions autres que finales, incidentes ou provisionnelles de première instance, dans les cas prévus par la loi (ch. 1) ou lorsqu’elles peuvent causer un préjudice difficilement réparable (ch. 2), que le recours contre une autorisation de procéder n’étant pas expressément prévu par le CPC, sauf en ce qui concerne les frais (art. 110 CPC), il n’est donc recevable que dans la mesure où celle-ci peut causer au recourant un préjudice difficilement réparable, cette notion étant plus large que celle de « dommage irréparable » au sens de l’art. 93 al. 1 let. a LTF (Loi du 17 juin 2005 sur le Tribunal fédéral, RS 173.110), que la Chambre des recours civile a considéré qu'un défendeur à une action qui ne prend pas de conclusions propres autres que libératoires ne subissait aucun préjudice difficilement réparable du fait de son absence à l'audience de conciliation, faute d'une sanction attachée à ce défaut, et qu'il ne pouvait donc recourir contre l'autorisation de procéder pour le motif que la procédure de conciliation n'aurait pas été respectée (CREC 19 juillet 2011/108; CREC 22 mars 2012/117), qu'au vu de cette jurisprudence et dès lors que la recourante n'a pris aucune conclusion autre que libératoire en première instance, la voie du recours de l'art. 319 let. b. ch. 2 CPC n'est pas ouverte, ce qui a pour conséquence que le recours est irrecevable; attendu que le présent arrêt peut être rendu sans frais judiciaires (art. 11 TFJC [tarif du 28 septembre 2010 des frais judiciaires civils; RSV 270.11.5).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Mme A.K.________, ‑ M. B.K.________, - M. Thierry Zumbach (pour V.________). La Chambre des recours civile considère que la valeur litigieuse est de 6'264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