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164 vom 31. Juli 2012</w:t>
      </w:r>
    </w:p>
    <w:p>
      <w:r>
        <w:t>VD Tribunal cantonal, 2012-07-31, FR</w:t>
      </w:r>
    </w:p>
    <w:p>
      <w:r>
        <w:rPr>
          <w:b/>
        </w:rPr>
        <w:t xml:space="preserve">Quelle: </w:t>
      </w:r>
      <w:r>
        <w:t>https://mcp.opencaselaw.ch/entscheid/vd_findinfo_Pron___2012___164</w:t>
      </w:r>
    </w:p>
    <w:p>
      <w:r>
        <w:t>FR: VD_FINDINFO Pron / 2012 / 164 du 31 juillet 2012</w:t>
      </w:r>
    </w:p>
    <w:p>
      <w:r>
        <w:t>IT: VD_FINDINFO Pron / 2012 / 164 del 31 luglio 2012</w:t>
      </w:r>
    </w:p>
    <w:p>
      <w:pPr>
        <w:pStyle w:val="Heading2"/>
      </w:pPr>
      <w:r>
        <w:t>Regeste</w:t>
      </w:r>
    </w:p>
    <w:p>
      <w:r>
        <w:t>DÉCISION D'IRRECEVABILITÉ, VOIE DE DROIT | 308 al. 2 CPC (CH)</w:t>
      </w:r>
    </w:p>
    <w:p>
      <w:pPr>
        <w:pStyle w:val="Heading2"/>
      </w:pPr>
      <w:r>
        <w:t>Volltext</w:t>
      </w:r>
    </w:p>
    <w:p>
      <w:r>
        <w:t>Vaud Tribunal cantonal Chambre des recours civile 31.07.2012 Pron / 2012 / 164</w:t>
      </w:r>
    </w:p>
    <w:p>
      <w:r>
        <w:t>DÉCISION D'IRRECEVABILITÉ, VOIE DE DROIT | 308 al. 2 CPC (CH)</w:t>
      </w:r>
    </w:p>
    <w:p>
      <w:r>
        <w:t>TRIBUNAL CANTONAL XZ12.018567-121392 257 CHAMBRE DES RECOURS CIVILE _________________________________________ Arrêt du 31 juillet 2012 __________________ Présidence de               M. WINZAP , vice-président Juges :              MM. Colelough et Pellet Greffière :              Mme Vuagniaux ***** Art. 308 al. 2 CPC Vu la décision rendue le 16 juillet 2012 par le Président du Tribunal des baux dans la cause divisant M.________ , requérant, d’avec W.________ , à Clarens, intimée, que, par contrat de bail à loyer signé le 4 février 1999, [...], ancienne bailleresse, a remis en location à W.________ un studio sis [...], à Clarens, dont le loyer mensuel est de 680 francs, que, par pli recommandé du 16 mars 2012, M.________, nouveau bailleur, a résilié le bail à loyer avec effet au 30 avril 2012, que M.________ a déposé une requête d'expulsion auprès du Tribunal des baux le 11 mai 2012, que, par acte du 26 juillet 2012, M.________ a recouru contre la décision du Président du Tribunal des baux du 16 juillet 2012, refusant d'entrer en matière sur sa requête du 11 mai 2012; attendu que, pour déterminer quelle voie de droit, de l’appel ou du recours, est ouverte, il faut se fonder sur la valeur litigieuse, calculée selon le droit fédéral, qui est égale au loyer de la période minimum pendant laquelle le contrat subsiste si la résiliation n’est pas valable, période qui s’étend jusqu’à la date pour laquelle un nouveau congé peut être donné, et qu'en principe, la durée déterminante pour le calcul de la valeur litigieuse ne saurait être inférieure à la période de trois ans pendant laquelle l’art. 271a al. 1 let. e CO (Code des obligations du 30 mars 1911; RS 220) consacre I’annulabilité d’une résiliation (JT 2011 III 83; TF 4A_634/2009 du 3 mars 2010 c. 1.1; SJ 2001 I 17 c. 1a; ATF 119 II 147 c. 1), qu'en l'espèce, le loyer mensuel s'élevant à 680 fr., la valeur litigieuse est supérieure à 10'000 fr., de sorte que la voie de l'appel est ouverte (art. 308 al. 2 CPC [Code de procédure civile du 19 décembre 2010; RS 272]), que, par ailleurs, la décision litigieuse indiquait clairement qu'un appel, et non un recours, pouvait être formé auprès du greffe du Tribunal cantonal, qu'en conséquence, le recours du 26 juillet 2012 de M.________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vice-président : La greffière : Du L'arrêt qui précède, dont la rédaction a été approuvée à huis clos, est notifié à : ‑ Me Peca Astyanax (pour M.________)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