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149 vom 26. Juni 2012</w:t>
      </w:r>
    </w:p>
    <w:p>
      <w:r>
        <w:t>VD Tribunal cantonal, 2012-06-26, FR</w:t>
      </w:r>
    </w:p>
    <w:p>
      <w:r>
        <w:rPr>
          <w:b/>
        </w:rPr>
        <w:t xml:space="preserve">Quelle: </w:t>
      </w:r>
      <w:r>
        <w:t>https://mcp.opencaselaw.ch/entscheid/vd_findinfo_Pron___2012___149</w:t>
      </w:r>
    </w:p>
    <w:p>
      <w:r>
        <w:t>FR: VD_FINDINFO Pron / 2012 / 149 du 26 juin 2012</w:t>
      </w:r>
    </w:p>
    <w:p>
      <w:r>
        <w:t>IT: VD_FINDINFO Pron / 2012 / 149 del 26 giugno 2012</w:t>
      </w:r>
    </w:p>
    <w:p>
      <w:pPr>
        <w:pStyle w:val="Heading2"/>
      </w:pPr>
      <w:r>
        <w:t>Regeste</w:t>
      </w:r>
    </w:p>
    <w:p>
      <w:r>
        <w:t>DÉCISION D'IRRECEVABILITÉ, EXPERTISE, HONORAIRES, FRAIS D'EXPERTISE | 184 al. 3 CPC (CH)</w:t>
      </w:r>
    </w:p>
    <w:p>
      <w:pPr>
        <w:pStyle w:val="Heading2"/>
      </w:pPr>
      <w:r>
        <w:t>Volltext</w:t>
      </w:r>
    </w:p>
    <w:p>
      <w:r>
        <w:t>Vaud Tribunal cantonal Cour d'appel civile 26.06.2012 Pron / 2012 / 149</w:t>
      </w:r>
    </w:p>
    <w:p>
      <w:r>
        <w:t>DÉCISION D'IRRECEVABILITÉ, EXPERTISE, HONORAIRES, FRAIS D'EXPERTISE | 184 al. 3 CPC (CH)</w:t>
      </w:r>
    </w:p>
    <w:p>
      <w:r>
        <w:t>TRIBUNAL CANTONAL PT08.038535-121177 301 cour d’appel CIVILE _____________________________ Arrêt du 26 juin 2012 __________________ Présidence de               M. Colombini , président Juges :              MM. Creux et Abrecht Greffier : M.              Corpataux ***** Art. 184 al. 3 CPC Vu le prononcé rendu le 21 mai 2012 par le Président du Tribunal civil de l’arrondissement de Lausanne arrêtant à 15'000 fr. la rémunération de l’expert [...] dans le cadre de la procédure opposant A.________ , à Founex, demanderesse, et I.________ SA , à Lausanne, défenderesse, vu l’appel interjeté le 21 juin 2012 par A.________ contre ce prononcé, vu les autres pièces au dossier ; attendu que, selon l’art. 184 al. 3 CPC (Code de procédure civile suisse du 19 décembre 2008, RS 272), la décision de première instance fixant la rémunération de l’expert peut faire l’objet d’un recours, tant de l’expert que des parties (Schweizer, in CPC commenté, Bâle 2011, n. 30 ad art. 184 CPC), que, selon la doctrine majoritaire, le recours de l’art. 184 al. 3 CPC doit être compris comme le recours au sens des art. 319 ss CPC (Müller, in Schweizerische Zivilprozessordnung – Kommentar [DIKE-Komm], Zurich 2011, n. 25 ad art. 184 CPC ; Schmid, in Schweizerische Zivilprozessordnung – Kurzkommentar, Bâle 2010, n. 6 ad art. 184 CPC ; Weibel, in Kommentar zur Schweizerischen Zivilprozessordnung, Zurich 2010, n. 10 ad art. 184 CPC), de sorte qu’il est ouvert quelle que soit la valeur litigieuse et qu’il exclut l’appel (art. 319 let. b ch. 1 CPC), que l’opinion contraire de Schweizer, pour qui c’est la voie de l'appel qui est ouverte contre la décision fixant la rémunération de l’expert lorsque la valeur litigieuse est supérieure à 10'000 fr. (Schweizer, op. cit., n. 31 ad art. 184 CPC), est isolée en doctrine et ne saurait être suivie, qu’au demeurant, selon la jurisprudence de la Chambre des recours, seul le recours au sens des art. 319 ss CPC est ouvert contre la décision fixant la rémunération de l’expert (CREC 9 décembre 2011/246 c. 1b ; CREC 16 janvier 2012/11 c. 1b), que l’indication des voies de droit au pied du prononcé attaqué mentionne expressément que celui-ci peut être attaqué par un recours au sens des art. 319 ss CPC, que l’appel est par conséquent irrecevable ; attendu qu’au vu de ce qui précède, la requête d’effet suspensif est sans objet ; attendu que le présent arrêt peut être rendu sans frais ; par ces motifs, la Cour d’appel civile du Tribunal cantonal, statuant à huis clos, I. déclare l’appel irrecevable ; II. dit que la requête d’effet suspensif est sans objet ; III. dit que l’arrêt est rendu sans frais. Le président : Le greffier : Du L'arrêt qui précède, dont la rédaction a été approuvée à huis clos, est notifié à : ‑ Me Olivier Righetti (pour A.________) ‑ Me Jean-Christophe Diserens (pour I.________ SA) La Cour d’appel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