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131 vom 14. Juni 2012</w:t>
      </w:r>
    </w:p>
    <w:p>
      <w:r>
        <w:t>VD Tribunal cantonal, 2012-06-14, FR</w:t>
      </w:r>
    </w:p>
    <w:p>
      <w:r>
        <w:rPr>
          <w:b/>
        </w:rPr>
        <w:t xml:space="preserve">Quelle: </w:t>
      </w:r>
      <w:r>
        <w:t>https://mcp.opencaselaw.ch/entscheid/vd_findinfo_Pron___2012___131</w:t>
      </w:r>
    </w:p>
    <w:p>
      <w:r>
        <w:t>FR: VD_FINDINFO Pron / 2012 / 131 du 14 juin 2012</w:t>
      </w:r>
    </w:p>
    <w:p>
      <w:r>
        <w:t>IT: VD_FINDINFO Pron / 2012 / 131 del 14 giugno 2012</w:t>
      </w:r>
    </w:p>
    <w:p>
      <w:pPr>
        <w:pStyle w:val="Heading2"/>
      </w:pPr>
      <w:r>
        <w:t>Regeste</w:t>
      </w:r>
    </w:p>
    <w:p>
      <w:r>
        <w:t>MOTIVATION DE LA DEMANDE, CONDITION DE RECEVABILITÉ, DÉCISION D'IRRECEVABILITÉ | 321 al. 1 CPC (CH)</w:t>
      </w:r>
    </w:p>
    <w:p>
      <w:pPr>
        <w:pStyle w:val="Heading2"/>
      </w:pPr>
      <w:r>
        <w:t>Volltext</w:t>
      </w:r>
    </w:p>
    <w:p>
      <w:r>
        <w:t>Vaud Tribunal cantonal Chambre des recours civile 14.06.2012 Pron / 2012 / 131</w:t>
      </w:r>
    </w:p>
    <w:p>
      <w:r>
        <w:t>MOTIVATION DE LA DEMANDE, CONDITION DE RECEVABILITÉ, DÉCISION D'IRRECEVABILITÉ | 321 al. 1 CPC (CH)</w:t>
      </w:r>
    </w:p>
    <w:p>
      <w:r>
        <w:t>TRIBUNAL CANTONAL J112.002850-121056 215 CHAMBRE DES RECOURS CIVILE _________________________________________ Arrêt du 14 juin 2012 __________________ Présidence de               M. CREUX, président Juges :              M. Colelough et Mme Crittin Greffier : M.              Bregnard ***** Art. 321 al. 1 CPC Vu la décision rendue le 21 mai 2012 dans la cause divisant C.________ , à Vuissens, d’avec K.________ , à Beinwil am See, par laquelle le Juge de paix de district de Lausanne n'est pas entré en matière en application de l'art. 132 al. 1 CPC, vu l'acte de recours déposé le 5 juin 2012 par C.________ contre la décision précitée, vu les autres pièces du dossier; attendu que selon l'art. 321 al. 1 CPC, l'acte de recours doit contenir une motivation, que l'autorité de seconde instance peut impartir un délai à l'appelant pour rectifier des vices de forme à l'instar de l'absence de signature (Jeandin, Code de procédure civile commenté, Bâle 2011, n. 4 ad. art 321 et renvoi à n. 5 ad. art. 311); qu'il ne saurait être remédié à un défaut de motivation par ce biais, un tel vice affectant l'appel de façon irréparable (ibidem), qu'en l'occurrence, l'acte de recours relate les circonstances qui se rapportent à la requête, que la recourante y évoque en effet un désaccord concernant une dette, en faisant part de son "intention de former recours suite au contentieux qui m'oppose à Monsieur K.________" et en demandant de comprendre qu'elle se doit "de faire opposition et recours à ce montant demandé", qu'en outre, l'acte ne comporte aucune conclusion, qu'il ressort de l'acte de recours qu'il n'est pas peu clair, contradictoire, imprécis ou manifestement inexacte au sens de l'art. 56 CPC, mais simplement sans rapport avec la décision de non-entrée en matière rendue conformément à l'art. 132 al. 1 CPC, que la recourante n'expose nullement en quoi la décision attaquée serait erronée, qu'il y a dès lors lieu de déclarer le recours irrecevable; attendu que le présent arrêt peut être rendu sans frais judiciaires. Par ces motifs, la Chambre des recours civile du Tribunal cantonal, statuant à huis clos, prononce : I. Le recours est irrecevable. II. L'arrêt, rendu sans frais judicaires, est exécutoire. Le président :               Le greffier : Du L'arrêt qui précède, dont la rédaction a été approuvée à huis clos, est notifié à :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