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93 vom 20. September 2011</w:t>
      </w:r>
    </w:p>
    <w:p>
      <w:r>
        <w:t>VD Tribunal cantonal, 2011-09-20, FR</w:t>
      </w:r>
    </w:p>
    <w:p>
      <w:r>
        <w:rPr>
          <w:b/>
        </w:rPr>
        <w:t xml:space="preserve">Quelle: </w:t>
      </w:r>
      <w:r>
        <w:t>https://mcp.opencaselaw.ch/entscheid/vd_findinfo_Pron___2011___93</w:t>
      </w:r>
    </w:p>
    <w:p>
      <w:r>
        <w:t>FR: VD_FINDINFO Pron / 2011 / 93 du 20 septembre 2011</w:t>
      </w:r>
    </w:p>
    <w:p>
      <w:r>
        <w:t>IT: VD_FINDINFO Pron / 2011 / 93 del 20 settembre 2011</w:t>
      </w:r>
    </w:p>
    <w:p>
      <w:pPr>
        <w:pStyle w:val="Heading2"/>
      </w:pPr>
      <w:r>
        <w:t>Regeste</w:t>
      </w:r>
    </w:p>
    <w:p>
      <w:r>
        <w:t>ACTE DE PROCÉDURE, CONCLUSIONS, DÉCISION D'IRRECEVABILITÉ | 132 al. 1 CPC (CH), 132 al. 2 CPC (CH), 56 CPC (CH)</w:t>
      </w:r>
    </w:p>
    <w:p>
      <w:pPr>
        <w:pStyle w:val="Heading2"/>
      </w:pPr>
      <w:r>
        <w:t>Volltext</w:t>
      </w:r>
    </w:p>
    <w:p>
      <w:r>
        <w:t>Vaud Tribunal cantonal Chambre des recours civile 20.09.2011 Pron / 2011 / 93</w:t>
      </w:r>
    </w:p>
    <w:p>
      <w:r>
        <w:t>ACTE DE PROCÉDURE, CONCLUSIONS, DÉCISION D'IRRECEVABILITÉ | 132 al. 1 CPC (CH), 132 al. 2 CPC (CH), 56 CPC (CH)</w:t>
      </w:r>
    </w:p>
    <w:p>
      <w:r>
        <w:t>TRIBUNAL CANTONAL 163 JUGE DELEGUé DE LA CHAMBRE DES RECOURS CIVILE _________________________________________ Arrêt du 20 septembre 2011 _______________________ Présidence de               M. Winzap , juge délégué Greffier : M.              Perret ***** Art. 56, 132 al. 1 et 2 CPC Vu le jugement rendu sous forme de dispositif le 9 mars 2011 par le Juge de paix du district de La Riviera – Pays-d'Enhaut dans la cause divisant D.________ , à Montreux, demandeur, d'avec V.________ , à Jongny, défendeur, vu l'acte de recours déposé le 16 mars 2011 par V.________ à l'encontre de ce jugement, vu la motivation du jugement précité adressée aux parties le 14 juin 2011, vu le courrier du 30 août 2011 par lequel le Président de la Chambre des recours civile du Tribunal cantonal a imparti au recourant un délai de cinq jours dès réception de l'envoi pour indiquer s'il entendait maintenir son recours à la suite du jugement motivé qu'il avait reçu le 15 juin 2011, et, cas échéant, pour préciser les points sur lesquels portait sa contestation et prendre des conclusions claires et précises, soit indiquer les modifications du jugement qu'il demandait, à défaut de quoi il ne serait pas entré en matière sur le recours, vu les autres pièces du dossier; attendu que l'écriture déposée le 16 mars 2011 par V.________ est peu claire, imprécise et manifestement incomplète (art. 56 CPC [Code de procédure civile du 19 décembre 2008; RS 272]), voire incompréhensible (art. 132 al. 2 CPC), qu'en particulier, elle ne comporte aucune conclusion énoncée de manière précise ou, à tout le moins, suffisamment compréhensible contre le jugement rendu par le Juge de paix du district de Lausanne le 9 mars 2011, dont la motivation a été adressée aux parties le 14 juin 2011, qu'en application des art. 56 et 132 al. 1 et 2 CPC, le Président de la cour de céans, par avis adressé au recourant en courrier recommandé le 30 août 2011, lui a imparti un délai de cinq jours dès réception de l'envoi pour indiquer s'il entendait maintenir son recours à la suite du jugement motivé qu'il avait reçu le 15 juin 2011, et, cas échéant, pour préciser les points sur lesquels portait sa contestation et prendre des conclusions claires et précises, soit indiquer les modifications du jugement qu'il demandait, sous peine d'irrecevabilité (art. 132 al. 1 in fine CPC), que le recourant n'a toutefois pas donné suite à cet avis dans le délai qui lui avait été fixé, que, par conséquent, faute de répondre aux exigences légales de forme des actes de procédure, le recours doit être déclaré irrecevable; attendu que le présent arrêt peut être rendu sans frais judicaires. Par ces motifs, le juge délégué de la Chambre des recours civile du Tribunal cantonal, statuant à huis clos, prononce : I. Le recours est irrecevable. II. L'arrêt, rendu sans frais judiciaires, est exécutoire. Le juge délégué : Le greffier : Du L'arrêt qui précède, dont la rédaction a été approuvée à huis clos, est notifié à : ‑ V.________, ‑ M. Jean-François Pfeiffer, aab (pour D.________).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