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65 vom 14. Juni 2011</w:t>
      </w:r>
    </w:p>
    <w:p>
      <w:r>
        <w:t>VD Tribunal cantonal, 2011-06-14, FR</w:t>
      </w:r>
    </w:p>
    <w:p>
      <w:r>
        <w:rPr>
          <w:b/>
        </w:rPr>
        <w:t xml:space="preserve">Quelle: </w:t>
      </w:r>
      <w:r>
        <w:t>https://mcp.opencaselaw.ch/entscheid/vd_findinfo_Pron___2011___65</w:t>
      </w:r>
    </w:p>
    <w:p>
      <w:r>
        <w:t>FR: VD_FINDINFO Pron / 2011 / 65 du 14 juin 2011</w:t>
      </w:r>
    </w:p>
    <w:p>
      <w:r>
        <w:t>IT: VD_FINDINFO Pron / 2011 / 65 del 14 giugno 2011</w:t>
      </w:r>
    </w:p>
    <w:p>
      <w:pPr>
        <w:pStyle w:val="Heading2"/>
      </w:pPr>
      <w:r>
        <w:t>Regeste</w:t>
      </w:r>
    </w:p>
    <w:p>
      <w:r>
        <w:t>DÉLAI DE RECOURS, DÉCISION D'IRRECEVABILITÉ | 319 CPC (CH), 321 CPC (CH)</w:t>
      </w:r>
    </w:p>
    <w:p>
      <w:pPr>
        <w:pStyle w:val="Heading2"/>
      </w:pPr>
      <w:r>
        <w:t>Volltext</w:t>
      </w:r>
    </w:p>
    <w:p>
      <w:r>
        <w:t>Vaud Tribunal cantonal Chambre des recours civile 14.06.2011 Pron / 2011 / 65</w:t>
      </w:r>
    </w:p>
    <w:p>
      <w:r>
        <w:t>DÉLAI DE RECOURS, DÉCISION D'IRRECEVABILITÉ | 319 CPC (CH), 321 CPC (CH)</w:t>
      </w:r>
    </w:p>
    <w:p>
      <w:r>
        <w:t>TRIBUNAL CANTONAL 83 CHAMBRE DES RECOURS CIVILE _________________________________________ Arrêt du 14 juin 2011 _________________ Présidence de               M. Creux , président Juges :              MM. Giroud et Colelough Greffier : M.              Perret ***** Art. 319, 321 CPC Vu la cause en réclamation pécuniaire divisant C.________ SA , à Lausanne, demanderesse, d’avec J.________ SA , à Montreux, défenderesse, et B.________ , à Pont-de-la-Morge (VS), appelé, devant le Président du Tribunal d'arrondissement de l'Est vaudois (ci-après : le Président), vu le courrier du 25 février 2011 par lequel les conseils des parties ont informé le Président que celles-ci avaient conclu une transaction extrajudiciaire réglant l'ensemble du litige, y compris la question des dépens, vu la décision du 11 mars 2011 par laquelle le Président a pris acte de la transaction intervenue entre les parties, rayé la cause du rôle en application de l'art. 159 CPC-VD (Code de procédure civile vaudois du 14 décembre 1966; RSV 270.11) et arrêté les frais à 500 fr. pour la demanderesse et à 916 fr. pour la défenderesse, vu le décompte de frais du 19 mai 2011, par 500 fr., adressé au conseil de C.________ SA, vu la lettre du 25 mai 2011 par laquelle le conseil précité a requis la correction dudit décompte de frais en ce sens qu'il se monte à 150 francs, très subsidiairement à 300 francs, vu les autres pièces du dossier; attendu que l'écriture du 25 mai 2011 est dirigée contre le décompte de frais du 19 mai précédent, dont la demanderesse C.________ SA requiert la correction, que dite écriture revient dès lors à contester le montant des frais à la charge de la demanderesse tel que fixé par le Président du Tribunal d'arrondissement dans sa décision du 11 mars 2011, qu'une telle décision est susceptible de recours au sens des art. 319 et suivants CPC (Code de procédure civile du 19 décembre 2008 [RS 272], entré en vigueur le 1 er janvier 2011), que le recours doit être formé dans un délai de trente jours dès la notification de la décision (art. 321 CPC), que la décision du 11 mars 2011 portait indication expresse tant de la voie que du délai de recours susmentionnés, que le décompte de frais du 19 mai 2011 est une simple écriture comptable en vue de l'encaissement des frais, qui ne vaut pas nouvelle décision susceptible de recours ni ne fait courir un nouveau délai de recours, qu'en tant que l'on considère l'écriture du 25 mai 2011 comme un recours, force est de constater que celui-ci a été déposé après l'échéance, intervenue au plus tard le 15 avril 2011, du délai de trente jours courant dès la notification de la décision du 11 mars 2011, qu'au surplus, le recourant n'a pas requis la restitution du délai de recours au sens de l'art. 148 CPC, que, par conséquent, le recours interjeté le 25 mai 2011 s'avère tardif, que, partant, il doit être déclaré irrecevable;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Me Stephen Gintzburger (pour C.________ SA). La Chambre des recours civile considère que la valeur litigieuse est de 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