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116 vom 14. November 2011</w:t>
      </w:r>
    </w:p>
    <w:p>
      <w:r>
        <w:t>VD Tribunal cantonal, 2011-11-14, FR</w:t>
      </w:r>
    </w:p>
    <w:p>
      <w:r>
        <w:rPr>
          <w:b/>
        </w:rPr>
        <w:t xml:space="preserve">Quelle: </w:t>
      </w:r>
      <w:r>
        <w:t>https://mcp.opencaselaw.ch/entscheid/vd_findinfo_Pron___2011___116</w:t>
      </w:r>
    </w:p>
    <w:p>
      <w:r>
        <w:t>FR: VD_FINDINFO Pron / 2011 / 116 du 14 novembre 2011</w:t>
      </w:r>
    </w:p>
    <w:p>
      <w:r>
        <w:t>IT: VD_FINDINFO Pron / 2011 / 116 del 14 novembre 2011</w:t>
      </w:r>
    </w:p>
    <w:p>
      <w:pPr>
        <w:pStyle w:val="Heading2"/>
      </w:pPr>
      <w:r>
        <w:t>Regeste</w:t>
      </w:r>
    </w:p>
    <w:p>
      <w:r>
        <w:t>TUTELLE, PROVISOIRE, DÉCISION D'IRRECEVABILITÉ, SIGNATURE, ABSENCE, CONCLUSIONS | 17 al. 1 CPC, 380b CPC, 489 CPC, 492 CPC</w:t>
      </w:r>
    </w:p>
    <w:p>
      <w:pPr>
        <w:pStyle w:val="Heading2"/>
      </w:pPr>
      <w:r>
        <w:t>Volltext</w:t>
      </w:r>
    </w:p>
    <w:p>
      <w:r>
        <w:t>Vaud Tribunal cantonal Chambre des tutelles 14.11.2011 Pron / 2011 / 116</w:t>
      </w:r>
    </w:p>
    <w:p>
      <w:r>
        <w:t>TUTELLE, PROVISOIRE, DÉCISION D'IRRECEVABILITÉ, SIGNATURE, ABSENCE, CONCLUSIONS | 17 al. 1 CPC, 380b CPC, 489 CPC, 492 CPC</w:t>
      </w:r>
    </w:p>
    <w:p>
      <w:r>
        <w:t>TRIBUNAL CANTONAL 203 CHAMBRE DES TUTELLES ________________________________ Arrêt du 14 novembre 2011 _______________________ Présidence de               M. Colombini , vice-président Juges :              M. Krieger et Mme Bendani Greffier : Mme              Villars ***** Art. 420 al. 2 CC; 17 al. 1, 380b, 489 ss, 492 CPC-VD Vu la décision du 21 juillet 2011, envoyée pour notification le 28 juillet suivant, par laquelle la Justice de paix du district de Lausanne a institué une mesure de tutelle provisoire, à forme de l'art. 386 CC, en faveur de B.________ , né le 3 mai 1924 et domicilié à Lausanne, et désigné Me Lionel Zeiter, avocat à Prilly, en qualité de tuteur provisoire, vu le recours interjeté le 12 septembre 2011 par B.________ contre cette décision, vu la lettre du 27 septembre 2011, envoyée sous pli recommandé, par laquelle le Président de la Chambre des tutelles a imparti à B.________ un délai au 17 octobre 2011 pour indiquer à quelle date et sous quelle forme la décision prise le 21 juillet 2011 par la Justice de paix du district de Lausanne lui a été communiquée et pour signer l'acte de recours personnellement, faute de quoi son recours ne serait pas pris en considération, vu les pièces au dossier; attendu que le recours est dirigé contre une décision de l'autorité tuté­laire instituant une mesure de tutelle provisoire, que la décision d'interdiction provisoire est susceptible du recours prévu à l'art. 380b CPC-VD (Code de procédure civile du 14 décembre 1966, RSV 270.11), qui reste applicable jusqu'à l'entrée en vigueur de la loi fédérale du 19 décembre 2008 révisant le Code civil suisse (protection de l'adulte, droit des per­son­nes et droit de la filiation), nonobstant l'entrée en vigueur du Code de procédure civile suisse du 19 décembre 2008 le 1 er janvier 2011 (art. 174 CDPJ, Code de droit privé judiciaire vaudois du 12 janvier 2010, RSV 211.01), que le recours, ouvert au dénoncé ainsi qu'à tout intéressé dans les dix jours dès la communication de la décision attaquée, s'instruit selon les formes du recours non contentieux prévues aux art. 489 ss CPC-VD (art. 380b al. CPC-VD), que le recours s'exerce par acte écrit, signé par la partie ou son manda­taire (art. 492 al. 1 CPC-VD),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l'acte de recours déposé le 12 septembre 2011 par le pupille B.________ ne contient pas sa signature personnelle ni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B.________ n'a pas produit un acte de re­cours portant sa signature personnelle dans le délai imparti, que, dépourvu de la signature personnelle du recourant ou de celle de son mandataire, ainsi que de tout grief clair et de toute conclusion précise, le recours est irrecevable, attendu que le présent arrêt peut être rendu sans frais conformément à l'art. 236 al. 2 aTFJC (Tarif du 4 décembre 1984 des frais judiciaires en matière civile) qui continue à s'appliquer pour les procédures visées à l'art. 174 CDPJ (art. 100 TFJC, Tarif du 28 septembre 2010 des frais judiciaires en matière civile,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B.________, - Me Lionel Zeiter,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