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107 vom 11. Oktober 2011</w:t>
      </w:r>
    </w:p>
    <w:p>
      <w:r>
        <w:t>VD Tribunal cantonal, 2011-10-11, FR</w:t>
      </w:r>
    </w:p>
    <w:p>
      <w:r>
        <w:rPr>
          <w:b/>
        </w:rPr>
        <w:t xml:space="preserve">Quelle: </w:t>
      </w:r>
      <w:r>
        <w:t>https://mcp.opencaselaw.ch/entscheid/vd_findinfo_Pron___2011___107</w:t>
      </w:r>
    </w:p>
    <w:p>
      <w:r>
        <w:t>FR: VD_FINDINFO Pron / 2011 / 107 du 11 octobre 2011</w:t>
      </w:r>
    </w:p>
    <w:p>
      <w:r>
        <w:t>IT: VD_FINDINFO Pron / 2011 / 107 del 11 ottobre 2011</w:t>
      </w:r>
    </w:p>
    <w:p>
      <w:pPr>
        <w:pStyle w:val="Heading2"/>
      </w:pPr>
      <w:r>
        <w:t>Regeste</w:t>
      </w:r>
    </w:p>
    <w:p>
      <w:r>
        <w:t>DÉLAI DE RECOURS, DÉCISION D'IRRECEVABILITÉ | 138 al. 3 let. a CPC (CH), 148 CPC (CH), 321 al. 2 CPC (CH)</w:t>
      </w:r>
    </w:p>
    <w:p>
      <w:pPr>
        <w:pStyle w:val="Heading2"/>
      </w:pPr>
      <w:r>
        <w:t>Volltext</w:t>
      </w:r>
    </w:p>
    <w:p>
      <w:r>
        <w:t>Vaud Tribunal cantonal Chambre des recours civile 11.10.2011 Pron / 2011 / 107</w:t>
      </w:r>
    </w:p>
    <w:p>
      <w:r>
        <w:t>DÉLAI DE RECOURS, DÉCISION D'IRRECEVABILITÉ | 138 al. 3 let. a CPC (CH), 148 CPC (CH), 321 al. 2 CPC (CH)</w:t>
      </w:r>
    </w:p>
    <w:p>
      <w:r>
        <w:t>TRIBUNAL CANTONAL 185 CHAMBRE DES RECOURS CIVILE _________________________________________ Arrêt du 11 octobre 2011 _____________________ Présidence de               M. Creux , président Juges :              M. Winzap et Mme Charif Feller Greffier : M.              Perret ***** Art. 138 al. 3 let. a, 148, 321 al. 2 CPC Vu la décision rendue le 26 août 2011 par le Juge de paix du district de Lavaux-Oron dans la cause divisant Z.________ , à Cugy, d’avec P.________ , à Lutry, vu le recours interjeté le 30 septembre 2011 par P.________ contre cette décision, vu les autres pièces du dossier; attendu que la décision du 26 août 2011 a été adressée aux parties en envoi recommandé le 29 août suivant, qu'il résulte du relevé Track &amp; Trace de la Poste qu'un avis de retrait relatif à l'envoi précité a été communiqué à P.________ le 30 août 2011, que l'envoi n'a toutefois pas été retiré par son destinataire à l'issue du délai de garde postal et a été retourné à l'expéditeur le 7 septembre 2011; attendu que la décision entreprise a été rendue en procédure sommaire, le premier juge ayant admis que les conditions de l'art. 257 CPC (Code de procédure civile du 19 décembre 2008; RS 272) étaient réalisées, qu'en application de l'art. 321 al. 2 CPC, le délai pour l'introduction du recours est de dix jours si la décision a été rendue en une telle procédure, qu'en vertu de l'art. 138 al. 3 let. a CPC, la notification de la décision entreprise est réputée intervenue le dernier jour du délai de garde postal de sept jours, soit le 7 septembre 2011, dès lors que le recourant devait s'attendre à recevoir notification de la décision du juge de paix, qu'en effet, le devoir procédural d'avoir à s'attendre avec une certaine vraisemblance à recevoir la notification d'un acte officiel naît avec l'ouverture d'un procès et vaut pendant toute la durée de la procédure (cf. ATF 130 III 396 c. 1.2.3 p. 399), que le délai de recours est ainsi arrivé à échéance le mardi 20 septembre 2011, compte tenu du fait que le lundi 19 septembre 2011 était férié dans le canton de Vaud (Lundi du Jeûne Fédéral); attendu que le recourant a indiqué qu'il n'avait pu retirer la décision à la Poste en raison de ses "nombreuses absences", qu'il lui incombait toutefois de prendre toutes mesures nécessaires à recevoir ou faire suivre les courriers qui lui étaient destinés, que la faute commise ne saurait être qualifiée de légère, que le recourant n'a ainsi pas rendu vraisemblable que le défaut ne lui était imputable qu'à faute légère, de sorte qu'une restitution de délai ne saurait lui être accordée en application de l'art. 148 CPC; attendu que l'envoi du 20 septembre 2011 auquel le recourant fait référence, à supposer qu'il s'agisse d'un nouvel envoi de la décision du 26 août 2011 sous pli simple pour information à l'intéressé, n'a pas fait courir un nouveau délai de recours, qu'en effet, lorsque l'autorité procède à une deuxième notification, celle-ci est sans effets juridiques (ATF 119 V 89 c. 4b/aa p. 94; 118 V 190 c. 3a p. 191; 117 V 131 c. 4a p. 132); attendu que le recours a été interjeté le 30 septembre 2011, selon la date du sceau postal, que, compte tenu de ce qui précède, le recours s'avère tardif, que, par conséquent, il doit être déclaré irrecevable; attendu que le présent arrêt peut être rendu sans frais judiciaires.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P.________, ‑ Geneviève Gehrig, aab (pour Z.________). La Chambre des recours civile considère que la valeur litigieuse est de 1'936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