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 vom 7. Februar 2011</w:t>
      </w:r>
    </w:p>
    <w:p>
      <w:r>
        <w:t>VD Tribunal cantonal, 2011-02-07, FR</w:t>
      </w:r>
    </w:p>
    <w:p>
      <w:r>
        <w:rPr>
          <w:b/>
        </w:rPr>
        <w:t xml:space="preserve">Quelle: </w:t>
      </w:r>
      <w:r>
        <w:t>https://mcp.opencaselaw.ch/entscheid/vd_findinfo_Pron___2011___10</w:t>
      </w:r>
    </w:p>
    <w:p>
      <w:r>
        <w:t>FR: VD_FINDINFO Pron / 2011 / 10 du 7 février 2011</w:t>
      </w:r>
    </w:p>
    <w:p>
      <w:r>
        <w:t>IT: VD_FINDINFO Pron / 2011 / 10 del 7 febbraio 2011</w:t>
      </w:r>
    </w:p>
    <w:p>
      <w:pPr>
        <w:pStyle w:val="Heading2"/>
      </w:pPr>
      <w:r>
        <w:t>Regeste</w:t>
      </w:r>
    </w:p>
    <w:p>
      <w:r>
        <w:t>DÉCISION D'IRRECEVABILITÉ, CONCLUSIONS | 17 al. 1 CPC, 393 CPC, 398d CPC, 464 al. 2 CPC</w:t>
      </w:r>
    </w:p>
    <w:p>
      <w:pPr>
        <w:pStyle w:val="Heading2"/>
      </w:pPr>
      <w:r>
        <w:t>Volltext</w:t>
      </w:r>
    </w:p>
    <w:p>
      <w:r>
        <w:t>Vaud Tribunal cantonal Chambre des tutelles 07.02.2011 Pron / 2011 / 10</w:t>
      </w:r>
    </w:p>
    <w:p>
      <w:r>
        <w:t>DÉCISION D'IRRECEVABILITÉ, CONCLUSIONS | 17 al. 1 CPC, 393 CPC, 398d CPC, 464 al. 2 CPC</w:t>
      </w:r>
    </w:p>
    <w:p>
      <w:r>
        <w:t>TRIBUNAL CANTONAL 25 CHAMBRE DES TUTELLES ________________________________ Arrêt du 7 février 2011 ___________________ Présidence de               M. Denys , président Juges :              M. Colombini et Mme Charif Feller Greffier : Mme              Villars ***** Art. 17 al. 1, 393, 398d, 464 al. 2 CPC-VD Vu la décision du 18 octobre 2010, communiquée le 26 novembre suivant, par laquelle la Justice de paix du district de Nyon a ordonné la clôture de l'enquête en interdiction civile et en privation de liberté à des fins d'assistance ou­verte à l'encontre de L.________ , né le 22 avril 1980 et domicilié à [...] (I), prononcé l'interdiction civile, à forme de l'art. 370 CC, du prénommé et désigné la Tutrice générale en qualité de tutrice (II et III), ordonné la publication des chiffres II et III de la décision dans la Feuille des avis officiels du canton de Vaud (IV), ordonné le placement à des fins d'assistance de L.________ à l'Hôpital de Pran­gins, puis dans un établissement approprié (V) et laissé les frais à la charge de l'Etat (VI), vu le recours interjeté le 2 décembre 2010 par L.________ à l'encontre de cette décision, vu la lettre du 4 janvier 2011, envoyée au recourant en recommandé avec accusé de réception, par laquelle le Président de la cour de céans a imparti à L.________ un délai de cinq jours pour refaire son acte de recours en précisant ce qu'il conteste et quelle modification de la décision entreprise il demande, faute de quoi le recours pourra être déclaré irrecevable, vu l'absence de réaction de l'intéressé dans le délai imparti, vu les pièces au dossier; attendu que le recours est dirigé contre une décision prise par l'autorité tutélaire prononçant l'interdiction civile, à forme de l'art. 370 CC (Code civil suisse du 10 décembre 1907, RS 210), du recourant et ordonnant son placement à des fins d'assistance, que, contre une telle décision, l'appel de l'art. 393 CPC-VD (Code de procé­du­re civile du 14 décembre 1966, RSV 270.11) et le recours de l'art. 398d CPC-VD sont ouverts à l'intéressé capable de discernement dans les dix jours dès la communi­cation de la décision,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ème éd., Lausanne 2002, n. 3 ad art. 492 CPC-VD, p. 763), que le présent recours, interjeté par le pupille lui-même, ne contient pas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L.________ a accusé réception et pris connaissance du contenu de la lettre du 4 janvier 2011 du Président de la cour de céans le 10 janvier 2011 et qu'il n'a pas produit un acte de re­cours complété dans le délai qui lui était imparti, que, dépourvu de tout grief clair et de toute conclusion précise contre la décision rendue le 18 octobre 2010 par l'autorité tutélaire, le recours est irrecevable;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L.________, ‑ M. le Tuteur général, et communiqué à : ‑ Justice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