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9 vom 12. Februar 2010</w:t>
      </w:r>
    </w:p>
    <w:p>
      <w:r>
        <w:t>VD Tribunal cantonal, 2010-02-12, FR</w:t>
      </w:r>
    </w:p>
    <w:p>
      <w:r>
        <w:rPr>
          <w:b/>
        </w:rPr>
        <w:t xml:space="preserve">Quelle: </w:t>
      </w:r>
      <w:r>
        <w:t>https://mcp.opencaselaw.ch/entscheid/vd_findinfo_Pron___2010___9</w:t>
      </w:r>
    </w:p>
    <w:p>
      <w:r>
        <w:t>FR: VD_FINDINFO Pron / 2010 / 9 du 12 février 2010</w:t>
      </w:r>
    </w:p>
    <w:p>
      <w:r>
        <w:t>IT: VD_FINDINFO Pron / 2010 / 9 del 12 febbraio 2010</w:t>
      </w:r>
    </w:p>
    <w:p>
      <w:pPr>
        <w:pStyle w:val="Heading2"/>
      </w:pPr>
      <w:r>
        <w:t>Regeste</w:t>
      </w:r>
    </w:p>
    <w:p>
      <w:r>
        <w:t>RETRAIT{VOIE DE DROIT} | 458 CPC</w:t>
      </w:r>
    </w:p>
    <w:p>
      <w:pPr>
        <w:pStyle w:val="Heading2"/>
      </w:pPr>
      <w:r>
        <w:t>Volltext</w:t>
      </w:r>
    </w:p>
    <w:p>
      <w:r>
        <w:t>Vaud Tribunal cantonal Chambre des recours civile 12.02.2010 Pron / 2010 / 9</w:t>
      </w:r>
    </w:p>
    <w:p>
      <w:r>
        <w:t>RETRAIT{VOIE DE DROIT} | 458 CPC</w:t>
      </w:r>
    </w:p>
    <w:p>
      <w:r>
        <w:t>TRIBUNAL CANTONAL 71/I LE PRESIDENT DE LA CHAMBRE DES RECOURS ________________________________________ Du 12 février 2010 Présidence de M.      G I R O U D , vice-président Greffier : Mme   Bourckholzer ***** Vu le procès opposant C.F.________ , demandeur, à [...], à A.F.________ et B.F.________ , défendeurs, à [...], ouvert devant le Tribunal civil de l'arrondissement de La Broye et du Nord Vaudois le 5 octobre 2007, vu l'action introduite par C.F.________ contre A.F.________, B.F.________ et D.F.________, devant la Cour civile du Tribunal cantonal le 21 octobre 2008, vu la requête de C.F.________, du même jour, concluant à la suspension de la cause pendante devant le tribunal d'arrondissement précité jusqu'à droit connu sur l'action ouverte devant la Cour civile, vu le jugement incident du Président du Tribunal civil de l'arrondissement de La Broye et du Nord vaudois du 28 septembre 2009, faisant droit à cette requête (I et II) , vu le recours interjeté le 9 octobre 2009 par A.F.________ et B.F.________ contre ce jugement incident, vu le mémoire déposé par les recourants, le 13 novembre 2009, vu le mémoire produit par l'intimé C.F.________, le 11 janvier 2010, vu le procès-verbal de l'audience du Juge instructeur de la Cour civile du 4 février 2010, constatant en substance que les parties ont transigé, qu'elles mettent fin à toutes les procédures engagées, qu'en particulier, A.F.________ et B.F.________ retirent le recours qu'ils ont interjeté contre le jugement incident (IV) et que chaque partie garde par ailleurs ses frais et renonce à tous dépens (VII), vu les autres pièces du dossier ; attendu qu'il y a lieu de prendre acte du retrait du recours intervenu et de rayer la cause du rôle de la Chambre des recours, que les frais de deuxième instance d'un montant de 403 fr. doivent être mis à la charge d'A.F.________ et d'B.F.________ (art. 222 al. 1 et 232 TFJC (Tarif du 4 décembre 1984 des frais judiciaires en matière civile; RSV 270.11.5), solidairement entre eux. que, vu l'accord intervenu, il n'y a pas lieu d'allouer de dépens de deuxième instance. Par ces motifs, Le Président la Chambre des recours du Tribunal cantonal, statuant à huis clos : I. Prend acte du retrait du recours. II. Met les frais de deuxième instance, par 403 fr. (quatre cent trois francs), à la charge d'A.F.________ et d'B.F.________, solidairement entre eux. III. Raye la cause du rôle de la Chambre des recours. IV. Déclare le présent prononcé, rendu sans dépens, exécutoire. L e vice-président : L a greffi ère : Du Le prononcé qui précède, dont la rédaction a été approuvée à huis clos, est notifié à : ‑      Me Julie Laverrière (pour A.F.________ et B.F.________), ‑      Me Olivier Burnet (pour C.F.________). Il prend date de ce jour. Le Vice-président de la Chambre des recours considère que la valeur litigieuse est de 50'635 fr. 20 francs. Le présent prononcé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 prononcé est communiqué, par l'envoi de photocopies, à : ‑      M. le Président du Tribunal civil de l'arrondissement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