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72 vom 12. Juli 2010</w:t>
      </w:r>
    </w:p>
    <w:p>
      <w:r>
        <w:t>VD Tribunal cantonal, 2010-07-12, FR</w:t>
      </w:r>
    </w:p>
    <w:p>
      <w:r>
        <w:rPr>
          <w:b/>
        </w:rPr>
        <w:t xml:space="preserve">Quelle: </w:t>
      </w:r>
      <w:r>
        <w:t>https://mcp.opencaselaw.ch/entscheid/vd_findinfo_Pron___2010___72</w:t>
      </w:r>
    </w:p>
    <w:p>
      <w:r>
        <w:t>FR: VD_FINDINFO Pron / 2010 / 72 du 12 juillet 2010</w:t>
      </w:r>
    </w:p>
    <w:p>
      <w:r>
        <w:t>IT: VD_FINDINFO Pron / 2010 / 72 del 12 luglio 2010</w:t>
      </w:r>
    </w:p>
    <w:p>
      <w:pPr>
        <w:pStyle w:val="Heading2"/>
      </w:pPr>
      <w:r>
        <w:t>Regeste</w:t>
      </w:r>
    </w:p>
    <w:p>
      <w:r>
        <w:t>DÉCISION D'IRRECEVABILITÉ, INTÉRÊT JURIDIQUE{PROCÉDURE CIVILE}, QUALITÉ POUR AGIR ET RECOURIR | 489 CPC</w:t>
      </w:r>
    </w:p>
    <w:p>
      <w:pPr>
        <w:pStyle w:val="Heading2"/>
      </w:pPr>
      <w:r>
        <w:t>Volltext</w:t>
      </w:r>
    </w:p>
    <w:p>
      <w:r>
        <w:t>Vaud Tribunal cantonal Chambre des recours civile 12.07.2010 Pron / 2010 / 72</w:t>
      </w:r>
    </w:p>
    <w:p>
      <w:r>
        <w:t>DÉCISION D'IRRECEVABILITÉ, INTÉRÊT JURIDIQUE{PROCÉDURE CIVILE}, QUALITÉ POUR AGIR ET RECOURIR | 489 CPC</w:t>
      </w:r>
    </w:p>
    <w:p>
      <w:r>
        <w:t>TRIBUNAL CANTONAL 126/II CHAMBRE DES RECOURS ________________________________ Arrêt du 12 juillet 2010 _______________________ Présidence de               M. Battistolo , vice-président Juges :              MM. Giroud et Sauterel Greffière :              Mme Rossi ***** Art. 489 CPC Vu le certificat d'héritiers délivré le 18 mai 2010 et adressé aux personnes concernées le 7 juin 2010 par le Juge de paix du district de Lausanne dans le cadre de la succession de S.________, vu l'avenant audit certificat établi le 14 juin 2010, certifiant que la défunte est décédée le 11 juillet 2009 à Morges, et non à Lausanne comme indiqué dans le document du 18 mai 2010, vu le recours interjeté le 16 juin 2010 par l'héritier A.G.________ , à Lausanne, contre le certificat d'héritiers, dans lequel il conteste l'orthographe du nom de sa mère S.________, l'usage de traits d'union dans la désignation du nom de sa mère, de feu son père et de son frère B.G.________, et invoque l'absence de mention de son acceptation de la succession et de celle de son neveu C.G.________, vu les pièces du dossier; attendu que, selon la jurisprudence et la doctrine, la voie du recours non contentieux des art. 489 ss CPC (Code de procédure civile du 14 décembre 1966; RSV 270.11) est ouverte contre l'octroi ou le refus du certificat d'héritiers et les indications qu'il contient (Poudret/Haldy/Tappy, Procédure civile vaudoise, 3 ème éd., Lausanne 2002, n. 2.4 ad art. 489 CPC, p. 759 et références, JT 1977 III 4), la délivrance du certificat d'héritiers relevant de la procédure gracieuse (ATF 118 II 108, résumé in JT 1993 I 351; Piotet, Droit successoral, Traité de droit privé suisse, t. IV, 1975, p. 648), que l'existence d'un intérêt du recourant est une condition de recevabilité du recours, cet intérêt devant être juridique et non de fait (ATF 127 III 429 c. 1b; ATF 118 II 108 précité c. 2c; JT 2001 III 13; Poudret, Commentaire de la loi fédérale d'organisation judiciaire, vol. II, Berne 1990, n. 5.1 ad art. 53 OJ, p. 387; Poudret/Haldy/Tappy, op. cit., n. 4 ad art. 443 CPC, p. 649), qu'en l'espèce, le recourant n'a pas d'intérêt juridique à la modification du certificat d'héritiers dans le sens des corrections orthographiques et des ajouts demandés, les éléments critiqués étant sans effet matériel sur dit certificat, qu'il est au demeurant rappelé que le certificat d'héritier est une attestation de l'autorité constatant que les personnes mentionnées sur le document sont les seuls héritiers du de cujus et peuvent disposer de ses biens, mais qu'il ne garantit pas la vocation successorale, cette attestation n'étant donnée que sous réserve des actions matérielles devant le juge (Steinauer, Le droit des successions, Berne 2006, n. 901, p. 441; Guinand/Stettler/Leuba, Droit des successions, 6 ème éd., 2005, n. 445, pp. 217-218), qu'en l'absence d'intérêt juridique du recourant, le recours doit être déclaré irrecevable;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A.G.________, ‑ M. B.G.________, - M. [...], - M. C.G.________,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