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67 vom 13. Januar 2010</w:t>
      </w:r>
    </w:p>
    <w:p>
      <w:r>
        <w:t>VD Tribunal cantonal, 2010-01-13, FR</w:t>
      </w:r>
    </w:p>
    <w:p>
      <w:r>
        <w:rPr>
          <w:b/>
        </w:rPr>
        <w:t xml:space="preserve">Quelle: </w:t>
      </w:r>
      <w:r>
        <w:t>https://mcp.opencaselaw.ch/entscheid/vd_findinfo_Pron___2010___67</w:t>
      </w:r>
    </w:p>
    <w:p>
      <w:r>
        <w:t>FR: VD_FINDINFO Pron / 2010 / 67 du 13 janvier 2010</w:t>
      </w:r>
    </w:p>
    <w:p>
      <w:r>
        <w:t>IT: VD_FINDINFO Pron / 2010 / 67 del 13 gennaio 2010</w:t>
      </w:r>
    </w:p>
    <w:p>
      <w:pPr>
        <w:pStyle w:val="Heading2"/>
      </w:pPr>
      <w:r>
        <w:t>Regeste</w:t>
      </w:r>
    </w:p>
    <w:p>
      <w:r>
        <w:t>DÉCISION D'IRRECEVABILITÉ, CONCLUSIONS | 17 CPC, 461 CPC, 464 al. 2 CPC</w:t>
      </w:r>
    </w:p>
    <w:p>
      <w:pPr>
        <w:pStyle w:val="Heading2"/>
      </w:pPr>
      <w:r>
        <w:t>Volltext</w:t>
      </w:r>
    </w:p>
    <w:p>
      <w:r>
        <w:t>Vaud Tribunal cantonal Chambre des recours civile 25.06.2010 Pron / 2010 / 67</w:t>
      </w:r>
    </w:p>
    <w:p>
      <w:r>
        <w:t>DÉCISION D'IRRECEVABILITÉ, CONCLUSIONS | 17 CPC, 461 CPC, 464 al. 2 CPC</w:t>
      </w:r>
    </w:p>
    <w:p>
      <w:r>
        <w:t>TRIBUNAL CANTONAL 329/I CHAMBRE DES RECOURS ________________________________ Arrêt du __________________ Présidence de               M. Colombini , président Juges :              MM.   Denys et Krieger Greffière :              Mme Cardinaux ***** Art. 17, 461, 464 al. 2 CPC Vu le jugement rendu le 13 janvier 2010 sous forme de dispositif par défaut de la défenderesse par la Juge de paix du district de Lausanne dans la cause divisant N.________ , demanderesse, à Lausanne, d’avec T.________ , défenderesse, à Lausanne, vu le recours interjeté le 28 janvier 2010 par T.________ contre ce jugement, vu les considérants du jugement précité adressés aux parties le 19 avril 2010 pour notification, vu la lettre du président de la cour de céans du 28 mai 2010, impartissant à la recourante un délai de cinq jours, dès réception, pour qu'elle refasse son acte conformément aux exigences de l'article 461 CPC (Code de procédure civile vaudoise du 14 décembre 1966, RSV 270.11) en mentionnant ses conclusions, particulièrement en indiquant l'énoncé exact de sa réclamation, sous peine d'irrecevabilité du recours, vu les autres pièces du dossier; attendu qu'en vertu de l'art. 461 CPC, l'acte de recours doit contenir les conclusions du recourant (al. 1 let. b) et indiquer s'il tend à la nullité ou à la réforme (al. 2), que les exigences de cette disposition ne constituent pas une simple règle d'ordre, mais des conditions de recevabilité du recours (Poudret/Haldy/Tappy, Procédure civile vaudoise, 3 ème éd., Lausanne 2002, n. 2 ad art. 461 CPC, pp. 714 -715), qu'à défaut de conclusions précises, le recours est recevable lorsqu'il permet de déterminer avec certitude l'intention du recourant (Poudret/Haldy/Tappy, op. cit., n. 3 ad art. 461 CPC, p. 715), qu'en l'espèce, l'acte de recours déposé le 28 janvier 2010 par T.________ ne contient pas de conclusions et ne permet pas de déterminer avec certitude l'intention de la recourante, qu'il n'est en conséquence pas conforme aux exigences de l'art. 461 CPC; attendu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l'espèce, le président de la cour de céans a, par lettre du 28 mai 2010, imparti à la recourante un délai de cinq jours, dès réception de l'avis, pour refaire son acte, sous peine d'irrecevabilité, que ce pli, non retiré par sa destinataire, a été retourné au Tribunal cantonal à l'échéance du délai de garde avec la mention non réclamé, qu'en conséquence, le recours de T.________ est irrecevable, faute de répondre aux exigences de l'art. 461 CPC;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Mme T.________, ‑ Mme N.________. Il prend date de ce jour. La Chambre des recours considère que la valeur litigieuse est de 1'764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