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41 vom 7. Mai 2010</w:t>
      </w:r>
    </w:p>
    <w:p>
      <w:r>
        <w:t>VD Tribunal cantonal, 2010-05-07, FR</w:t>
      </w:r>
    </w:p>
    <w:p>
      <w:r>
        <w:rPr>
          <w:b/>
        </w:rPr>
        <w:t xml:space="preserve">Quelle: </w:t>
      </w:r>
      <w:r>
        <w:t>https://mcp.opencaselaw.ch/entscheid/vd_findinfo_Pron___2010___41</w:t>
      </w:r>
    </w:p>
    <w:p>
      <w:r>
        <w:t>FR: VD_FINDINFO Pron / 2010 / 41 du 7 mai 2010</w:t>
      </w:r>
    </w:p>
    <w:p>
      <w:r>
        <w:t>IT: VD_FINDINFO Pron / 2010 / 41 del 7 maggio 2010</w:t>
      </w:r>
    </w:p>
    <w:p>
      <w:pPr>
        <w:pStyle w:val="Heading2"/>
      </w:pPr>
      <w:r>
        <w:t>Regeste</w:t>
      </w:r>
    </w:p>
    <w:p>
      <w:r>
        <w:t>DÉCISION D'IRRECEVABILITÉ | 265a LP</w:t>
      </w:r>
    </w:p>
    <w:p>
      <w:pPr>
        <w:pStyle w:val="Heading2"/>
      </w:pPr>
      <w:r>
        <w:t>Volltext</w:t>
      </w:r>
    </w:p>
    <w:p>
      <w:r>
        <w:t>Vaud Tribunal cantonal Chambre des recours civile 07.05.2010 Pron / 2010 / 41</w:t>
      </w:r>
    </w:p>
    <w:p>
      <w:r>
        <w:t>DÉCISION D'IRRECEVABILITÉ | 265a LP</w:t>
      </w:r>
    </w:p>
    <w:p>
      <w:r>
        <w:t>TRIBUNAL CANTONAL 174/I CHAMBRE DES RECOURS ________________________________ Arrêt du 7 mai 2010 __________________ Présidence de               M. Giroud , vice- président Juges :              MM.   Creux et Krieger Greffière :              Mme Cardinaux ***** Art. 265a al. 1 et 4 LP Vu le prononcé rendu le 9 décembre 2009 par la Juge de paix du district de Lausanne dans la cause divisant H.________ , à Lausanne, d’avec T.________ , à Lausanne, vu le recours interjeté le 18 mars 2010 à la Chambre des recours par lequel H.________ a conclu, sous suite de dépens, à la réforme de ce prononcé, vu les autres pièces du dossier; attendu que, selon l'art. 265a al. 1 LP (loi fédérale sur la poursuite pour dettes et la faillite du 11 avril 1889; RS 281.1), si le débiteur fait opposition en contestant son retour à meilleure fortune, l’office soumet l’opposition au juge du for de la poursuite (al. 1); celui-ci statue définitivement après avoir entendu les parties (al. 2), qu'en l'espèce, la décision attaquée est un prononcé du juge de paix en matière sommaire de poursuites déclarant irrecevable, à concurrence de 842 francs 25 par mois, l'opposition pour non retour à meilleure fortune formée par H.________ à la poursuite n° 5168761 de l'Office des poursuites de Lausanne-Est exercée contre lui à l'instance de la T.________, que, selon la jurisprudence, une telle décision est susceptible de recours en nullité à la Cour des poursuites et faillites, au sens de l'art. 38 al. 1 LVLP (loi du 18 mai 1955 d'application dans le Canton de Vaud de la loi fédérale sur la poursuite pour dettes et la faillite; RSV 280.05), à l'exclusion d'un recours en réforme (JT 2004 II 73; CPF, 5 février 2009/36; Jeandin, Commentaire romand, n. 21 ad art. 265a LP, pp. 1226-1227), que le recours en nullité ainsi ouvert ne constitue toutefois qu'une voie de recours extraordinaire, le principe étant que les décisions prises sur opposition pour non retour à meilleure fortune sont définitives, que le recours en nullité n'est donc possible que lorsque le juge était incompétent ou s'est déclaré à tort incompétent, pour absence d'assignation régulière ou pour violation des règles essentielles de la procédure, lorsque l'informalité est de nature à influer sur le prononcé (art. 38 al. 1 LVLP), que la partie qui estime que la décision prise par le juge quant à la recevabilité de l'opposition pour non retour à meilleure fortune est erronée doit agir conformément à l'art. 265a al. 4 LP par la voie de la procédure ordinaire, devant le juge du for de la poursuite, dans les vingt jours à compter de la notification de la décision sur opposition (ATF 134 III 524, JT 2008 II 90 c. 1), que le recours en réforme déposé par H.________ à la Chambre des recours est dès lors irrecevable; attendu que le présent 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Me Robert Lei Ravello (pour H.________), ‑ T.________. Il prend date de ce jour. La Chambre des recours considère que la valeur litigieuse est de 160'822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