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4 vom 27. Januar 2010</w:t>
      </w:r>
    </w:p>
    <w:p>
      <w:r>
        <w:t>VD Tribunal cantonal, 2010-01-27, FR</w:t>
      </w:r>
    </w:p>
    <w:p>
      <w:r>
        <w:rPr>
          <w:b/>
        </w:rPr>
        <w:t xml:space="preserve">Quelle: </w:t>
      </w:r>
      <w:r>
        <w:t>https://mcp.opencaselaw.ch/entscheid/vd_findinfo_Pron___2010___4</w:t>
      </w:r>
    </w:p>
    <w:p>
      <w:r>
        <w:t>FR: VD_FINDINFO Pron / 2010 / 4 du 27 janvier 2010</w:t>
      </w:r>
    </w:p>
    <w:p>
      <w:r>
        <w:t>IT: VD_FINDINFO Pron / 2010 / 4 del 27 gennaio 2010</w:t>
      </w:r>
    </w:p>
    <w:p>
      <w:pPr>
        <w:pStyle w:val="Heading2"/>
      </w:pPr>
      <w:r>
        <w:t>Regeste</w:t>
      </w:r>
    </w:p>
    <w:p>
      <w:r>
        <w:t>DÉPENS, DÉCISION D'IRRECEVABILITÉ | 154 CPC, 94 CPC</w:t>
      </w:r>
    </w:p>
    <w:p>
      <w:pPr>
        <w:pStyle w:val="Heading2"/>
      </w:pPr>
      <w:r>
        <w:t>Volltext</w:t>
      </w:r>
    </w:p>
    <w:p>
      <w:r>
        <w:t>Vaud Tribunal cantonal Chambre des recours civile 27.01.2010 Pron / 2010 / 4</w:t>
      </w:r>
    </w:p>
    <w:p>
      <w:r>
        <w:t>DÉPENS, DÉCISION D'IRRECEVABILITÉ | 154 CPC, 94 CPC</w:t>
      </w:r>
    </w:p>
    <w:p>
      <w:r>
        <w:t>TRIBUNAL CANTONAL 32/I CHAMBRE DES RECOURS ________________________________ Arrêt du 27 janvier 2010 ______________________ Présidence de   M. Colombini , président Juges : MM. Creux et Denys Greffier : Mme   Bourckholzer ***** Art. 94 CPC Vu le jugement incident du 3 décembre 2009, par lequel le Président du Tribunal civil de l'arrondissement de Lausanne a rejeté la requête de réforme de E.________ Sàrl , du 2 septembre 2009 (I), déclaré sans objet sa requête incidente tendant à la mise en œuvre d'une seconde expertise (II), mis les frais de la procédure incidente, par 600 fr., à sa charge (III) et dit qu'elle devra verser à l'intimée V.________ 800 fr. à titre de dépens (IV), vu le recours interjeté par la requérante contre sa condamnation aux dépens précités, vu les pièces au dossier; attendu que le recours porte sur le principe des dépens d'un jugement incident refusant une requête de réforme de la recourante, qu'un recours en réforme sur le principe des dépens n'est ouvert qu'à la condition que la décision sur le fond puisse elle-même faire l'objet d'un recours autre qu'en nullité (Poudret/Haldy/Tappy, Procédure civile vaudoise, 3 ème éd., Lausanne 2002, n. 1 ad art. 94 CPC, p. 186), qu'un jugement incident rejetant une requête de réforme ne peut pas faire l'objet d'un recours immédiat, sous réserve du cas, non réalisé ici, où la requête de réforme tend à l'introduction de conclusions nouvelles (Poudret/Haldy/Tappy, op. cit., n. 2 ad art. 154 CPC, p. 282), qu'il en résulte qu'à défaut de voie de recours contre la décision elle-même, le recours en réforme sur la question accessoire des dépens est irrecevable, que l'arrêt est rendu sans frais. Par ces motifs, la Chambre des recours du Tribunal cantonal, statuant à huis clos, prononce : I. Le recours est irrecevable. II. L'arrêt, exécutoire, est rendu sans frais. L e président : L a greffi ère : Du L'arrêt qui précède, dont la rédaction a été approuvée à huis clos, est notifié à : ‑      Me Christophe Piguet (pour E.________ Sàrl), ‑      Me Raphaël Rey (pour V.________). Il prend date de ce jour. La Chambre des recours considère que la valeur litigieuse est de 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