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2 vom 19. Januar 2010</w:t>
      </w:r>
    </w:p>
    <w:p>
      <w:r>
        <w:t>VD Tribunal cantonal, 2010-01-19, FR</w:t>
      </w:r>
    </w:p>
    <w:p>
      <w:r>
        <w:rPr>
          <w:b/>
        </w:rPr>
        <w:t xml:space="preserve">Quelle: </w:t>
      </w:r>
      <w:r>
        <w:t>https://mcp.opencaselaw.ch/entscheid/vd_findinfo_Pron___2010___2</w:t>
      </w:r>
    </w:p>
    <w:p>
      <w:r>
        <w:t>FR: VD_FINDINFO Pron / 2010 / 2 du 19 janvier 2010</w:t>
      </w:r>
    </w:p>
    <w:p>
      <w:r>
        <w:t>IT: VD_FINDINFO Pron / 2010 / 2 del 19 gennaio 2010</w:t>
      </w:r>
    </w:p>
    <w:p>
      <w:pPr>
        <w:pStyle w:val="Heading2"/>
      </w:pPr>
      <w:r>
        <w:t>Regeste</w:t>
      </w:r>
    </w:p>
    <w:p>
      <w:r>
        <w:t>TRANSACTION EXTRAJUDICIAIRE | 159 CPC, 469b CPC</w:t>
      </w:r>
    </w:p>
    <w:p>
      <w:pPr>
        <w:pStyle w:val="Heading2"/>
      </w:pPr>
      <w:r>
        <w:t>Volltext</w:t>
      </w:r>
    </w:p>
    <w:p>
      <w:r>
        <w:t>Vaud Tribunal cantonal Chambre des recours civile 19.01.2010 Pron / 2010 / 2</w:t>
      </w:r>
    </w:p>
    <w:p>
      <w:r>
        <w:t>TRANSACTION EXTRAJUDICIAIRE | 159 CPC, 469b CPC</w:t>
      </w:r>
    </w:p>
    <w:p>
      <w:r>
        <w:t>TRIBUNAL CANTONAL 33/I LE PRESIDENT DE LA CHAMBRE DES RECOURS ________________________________________ Arrêt du 19 janvier 2010 __________________ Présidence de   M. Colombini , président Greffier : Mme   Bourckholzer ***** Art. 159, 469b CPC Vu le jugement rendu le 10 décembre 2008 par la Cour civile du Tribunal cantonal dans la cause divisant C.________ , à Genève, demanderesse, d'avec K.________ SA, à Nyon, défenderesse, vu le recours interjeté par la défenderesse contre ce jugement, vu la lettre du 12 janvier 2010, par laquelle la demanderesse transmet une déclaration, signée des parties les 29 décembre 2009 et 11 janvier 2010, attestant qu'elles ont transigé le procès et précisant que les éventuels frais de deuxième instance doivent être mis à la charge de la défenderesse, chaque partie supportant ses frais et renonçant à des dépens, pour le surplus, vu les pièces au dossier ; attendu qu'il convient de prendre acte du fait que les parties ont transigé la cause (art. 159 al. 2 CPC [Code de procédure civile du 14 décembre 1966; RSV 270.11]), que le recours est ainsi sans objet, la cause devant être rayée du rôle, que, par ailleurs, les frais de deuxième instance de la recourante Beckman Coulter Eurocenter SA sont arrêtés à 225 fr. (art. 222 al. 2 TFJC [tarif du 4 décembre 1984 des frais judiciaires en matière civile ; RSV 270.11.5]), qu'il n'y a pas lieu d'allouer de dépens de deuxième instance, les parties y ayant renoncé. Par ces motifs, Le Président de la Chambre des recours du Tribunal cantonal, statuant à huis clos : I. Prend acte de la transaction intervenue entre les parties les 29 décembre 2009 et 11 janvier 2010. II. Constate que le recours est sans objet. III. Raye la cause du rôle. IV. Arrête les frais de deuxième instance de la recourante Beckman Coulter Eurocenter SA à 225 fr. (deux cent vingt cinq francs). V. Déclare le présent arrêt, rendu sans dépens, exécutoire. L e président : L a greffi ère : Du L'arrêt qui précède, dont la rédaction a été approuvée à huis clos, est notifié à : ‑      Me Jean-Claude Perroud (pour K.________ SA), ‑      Me Jacques Micheli (pour C.________).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