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107 vom 29. Oktober 2010</w:t>
      </w:r>
    </w:p>
    <w:p>
      <w:r>
        <w:t>VD Tribunal cantonal, 2010-10-29, FR</w:t>
      </w:r>
    </w:p>
    <w:p>
      <w:r>
        <w:rPr>
          <w:b/>
        </w:rPr>
        <w:t xml:space="preserve">Quelle: </w:t>
      </w:r>
      <w:r>
        <w:t>https://mcp.opencaselaw.ch/entscheid/vd_findinfo_Pron___2010___107</w:t>
      </w:r>
    </w:p>
    <w:p>
      <w:r>
        <w:t>FR: VD_FINDINFO Pron / 2010 / 107 du 29 octobre 2010</w:t>
      </w:r>
    </w:p>
    <w:p>
      <w:r>
        <w:t>IT: VD_FINDINFO Pron / 2010 / 107 del 29 ottobre 2010</w:t>
      </w:r>
    </w:p>
    <w:p>
      <w:pPr>
        <w:pStyle w:val="Heading2"/>
      </w:pPr>
      <w:r>
        <w:t>Regeste</w:t>
      </w:r>
    </w:p>
    <w:p>
      <w:r>
        <w:t>ACTE DE RECOURS, CONCLUSIONS, OBLIGATION DE CHIFFRER LES CONCLUSIONS, DÉCISION D'IRRECEVABILITÉ | 461 al. 1 let. b CPC, 464 al. 2 CPC</w:t>
      </w:r>
    </w:p>
    <w:p>
      <w:pPr>
        <w:pStyle w:val="Heading2"/>
      </w:pPr>
      <w:r>
        <w:t>Volltext</w:t>
      </w:r>
    </w:p>
    <w:p>
      <w:r>
        <w:t>Vaud Tribunal cantonal Chambre des recours civile 29.10.2010 Pron / 2010 / 107</w:t>
      </w:r>
    </w:p>
    <w:p>
      <w:r>
        <w:t>ACTE DE RECOURS, CONCLUSIONS, OBLIGATION DE CHIFFRER LES CONCLUSIONS, DÉCISION D'IRRECEVABILITÉ | 461 al. 1 let. b CPC, 464 al. 2 CPC</w:t>
      </w:r>
    </w:p>
    <w:p>
      <w:r>
        <w:t>TRIBUNAL CANTONAL 553/I CHAMBRE DES RECOURS ________________________________ Arrêt du 29 octobre 2010 ______________________ Présidence de               M. Colombini , président Juges :              MM Denys et Krieger Greffier : M.              Elsig ***** Art. 17, 461 al. 1 let. b, 464 CPC Vu le jugement rendu le 1 er juin 2010 par le Président du Tribunal civil de l'arrondissement de Lausanne dans la cause divisant R.________ , à Lausanne, défendeur, d’avec F.________ SA , à Lausanne, demanderesse, vu le recours dépourvu de conclusions déposé le 22 septembre 2010 contre ce jugement par R.________, vu le courrier recommandé du président du la cour de céans du 6 octobre 2010, avisant le recourant que son acte ne contenait pas de conclusions et n'indiquait pas si le recours tendait à la nullité ou à la réforme et lui impartissant un délai de trois semaine dès la réception dudit courrier pour le refaire, en précisant, cas échéant, le montant exact – en chiffres – qu'il réclamait, qu'il contestait devoir ou qu'il reconnaissait devoir, faute de quoi le recours pourrait être déclaré irrecevable, vu le renvoi de ce courrier par l'Office de poste, dit pli n'ayant pas été réclamé, vu le courrier recommandé du président de la cour de céans du 6 octobre 2010 avisant le recourant qu'il lui appartenait de déposer sans délai une requête d'assistance judiciaire auprès du Bureau de l'assistance judiciaire et lui donnant l'adresse dudit bureau, vu les autres pièces du dossier; attendu que selon l'art. 461 al. 1 let. b CPC (Code de procédure civile du 14 décembre 1966; RSV 270.11.5), l'acte de recours doit contenir les conclusions du recourant, que cette exigence ne constitue pas une simple règle d'ordre, mais une condition de recevabilité du recours (Poudret/Haldy/Tappy, Procédure civile vaudoise, 3 ème éd., Lausanne 2002, n. 2 ad art. 461 CPC, pp. 714-715), qu'à défaut de conclusions précises, le recours est recevable lorsqu'il permet de déterminer avec certitude l'intention du recourant (Poudret/Haldy/Tappy, op. cit., n. 3 ad art. 461 CPC, p. 715), qu'en l'espèce, l'acte du 22 septembre 2010 est dépourvu de conclusions et ne permet pas de déterminer avec certitude l'intention du recourant, qu'il n'est dès lors pas conforme aux exigences de l'art. 461 CPC; attendu que, selon l'art. 17 CPC, applicable par renvoi de l'art. 461 al. 3 CPC, lorsque le recours est entaché d'une irrégularité manifeste, le juge peut surseoir à sa transmission et renvoyer l'acte à son auteur en lui impartissant un délai pour le refaire, que, lorsqu'il a été fait application de cette disposition et que le recourant ne produit pas de nouvel acte ou produit un nouvel acte encore irrégulier, le Tribunal cantonal prononce sans autre instruction sur l'entrée en matière (art. 464 al. 2 CPC), qu'en l'espèce, le recourant a été invité à refaire son acte par courrier du 6 octobre 2010, que ce pli est revenu avec la mention non réclamé, que le recours, non conforme aux exigences de l'art. 461 CPC, est en conséquence irrecevable; attendu que le présent arrêt peut être rendu sans frais. Par ces motifs, la Chambre des recours du Tribunal cantonal, statuant à huis clos, prononce : I. Le recours est irrecevable. II. L'arrêt, rendu sans frais, est exécutoire. Le président :               Le greffier : Du L'arrêt qui précède, dont la rédaction a été approuvée à huis clos, est notifié à : ‑ M. R.________, ‑ Me Jean-Emmanuel Rossel (pour F.________ SA). Il prend date de ce jour. La Chambre des recours considère que la valeur litigieuse est de 8'140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