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101 vom 6. Oktober 2010</w:t>
      </w:r>
    </w:p>
    <w:p>
      <w:r>
        <w:t>VD Tribunal cantonal, 2010-10-06, FR</w:t>
      </w:r>
    </w:p>
    <w:p>
      <w:r>
        <w:rPr>
          <w:b/>
        </w:rPr>
        <w:t xml:space="preserve">Quelle: </w:t>
      </w:r>
      <w:r>
        <w:t>https://mcp.opencaselaw.ch/entscheid/vd_findinfo_Pron___2010___101</w:t>
      </w:r>
    </w:p>
    <w:p>
      <w:r>
        <w:t>FR: VD_FINDINFO Pron / 2010 / 101 du 6 octobre 2010</w:t>
      </w:r>
    </w:p>
    <w:p>
      <w:r>
        <w:t>IT: VD_FINDINFO Pron / 2010 / 101 del 6 ottobre 2010</w:t>
      </w:r>
    </w:p>
    <w:p>
      <w:pPr>
        <w:pStyle w:val="Heading2"/>
      </w:pPr>
      <w:r>
        <w:t>Regeste</w:t>
      </w:r>
    </w:p>
    <w:p>
      <w:r>
        <w:t>PROTECTION DE L'UNION CONJUGALE, TYPE DE RECOURS, MOYEN DE DROIT | 369 CPC, 444 al. 1 CPC</w:t>
      </w:r>
    </w:p>
    <w:p>
      <w:pPr>
        <w:pStyle w:val="Heading2"/>
      </w:pPr>
      <w:r>
        <w:t>Volltext</w:t>
      </w:r>
    </w:p>
    <w:p>
      <w:r>
        <w:t>Vaud Tribunal cantonal Chambre des recours civile 06.10.2010 Pron / 2010 / 101</w:t>
      </w:r>
    </w:p>
    <w:p>
      <w:r>
        <w:t>PROTECTION DE L'UNION CONJUGALE, TYPE DE RECOURS, MOYEN DE DROIT | 369 CPC, 444 al. 1 CPC</w:t>
      </w:r>
    </w:p>
    <w:p>
      <w:r>
        <w:t>TRIBUNAL CANTONAL 205/II CHAMBRE DES RECOURS ________________________________ Arrêt du 6 octobre 2010 ___________________ Présidence de               M. Denys , président Juges :              MM. Battistolo et Colombini Greffier : M.               d'Eggis ***** Art. 369 al. 4al. 1 CPC Vu l'arrêt d'appel sur mesures protectrices de l'union conjugale rendu le 17 septembre 2010 par le Tribunal civil de l'arrondissement de La Côte dans la cause divisant M.________ , à Bâle, intimé, d’avec Mme ________ , à Gland, appelante, vu le recours du 28 septembre 2010 par lequel l'intimé a recouru contre cet arrêt d'appel en concluant implicitement à sa réforme en ce sens que la contribution d'entretien en faveur de l'appelante et leurs enfants est réduite de 6'200 francs à 5'500 fr. par mois, allocations familiales en sus, plus la moitié de son bonus, vu les pièces du dossier; attendu que l'arrêt d'appel sur mesures protectrices de l'union conjugale rendu par un tribunal d'arrondissement n'est susceptible que du recours en nullité prévu à l'art. 444 al. 1 ch. 1 et 2 CPC (Poudret/Haldy/Tappy, Procédure civile vaudoise, 3ème éd., Lausanne 2002, note ad art. 369 CPC, p. 546 et n. 20 ad art. 444 CPC, p. 663), que le recourante n'a pas pris de conclusion en nullité, mais seulement implicitement en réforme, qu'en conséquence, son recours est irrecevable; attendu que le présent arrêt peut être rendu sans frais. Par ces motifs, la Chambre des recours du Tribunal cantonal, statuant à huis clos, prononce : I. Le recours est irrecevable. II. L'arrêt, rendu sans frais ni dépens, est exécutoire. Le président :               Le greffier : Du L'arrêt qui précède, dont la rédaction a été approuvée à huis clos, est notifié à : ‑ M. M.________, ‑ Me Ninon Pulver (pour Mme ________).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