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 vom 12. Februar 2010</w:t>
      </w:r>
    </w:p>
    <w:p>
      <w:r>
        <w:t>VD Tribunal cantonal, 2010-02-12, FR</w:t>
      </w:r>
    </w:p>
    <w:p>
      <w:r>
        <w:rPr>
          <w:b/>
        </w:rPr>
        <w:t xml:space="preserve">Quelle: </w:t>
      </w:r>
      <w:r>
        <w:t>https://mcp.opencaselaw.ch/entscheid/vd_findinfo_Pron___2010___10</w:t>
      </w:r>
    </w:p>
    <w:p>
      <w:r>
        <w:t>FR: VD_FINDINFO Pron / 2010 / 10 du 12 février 2010</w:t>
      </w:r>
    </w:p>
    <w:p>
      <w:r>
        <w:t>IT: VD_FINDINFO Pron / 2010 / 10 del 12 febbraio 2010</w:t>
      </w:r>
    </w:p>
    <w:p>
      <w:pPr>
        <w:pStyle w:val="Heading2"/>
      </w:pPr>
      <w:r>
        <w:t>Regeste</w:t>
      </w:r>
    </w:p>
    <w:p>
      <w:r>
        <w:t>CONCLUSIONS, OBLIGATION DE CHIFFRER LES CONCLUSIONS | 17 CPC, 461 al. 1 let. b CPC, 461 al. 2 CPC, 461 CPC</w:t>
      </w:r>
    </w:p>
    <w:p>
      <w:pPr>
        <w:pStyle w:val="Heading2"/>
      </w:pPr>
      <w:r>
        <w:t>Volltext</w:t>
      </w:r>
    </w:p>
    <w:p>
      <w:r>
        <w:t>Vaud Tribunal cantonal Chambre des recours civile 12.02.2010 Pron / 2010 / 10</w:t>
      </w:r>
    </w:p>
    <w:p>
      <w:r>
        <w:t>CONCLUSIONS, OBLIGATION DE CHIFFRER LES CONCLUSIONS | 17 CPC, 461 al. 1 let. b CPC, 461 al. 2 CPC, 461 CPC</w:t>
      </w:r>
    </w:p>
    <w:p>
      <w:r>
        <w:t>TRIBUNAL CANTONAL 82/I CHAMBRE DES RECOURS ________________________________ Arrêt du 12 février 2010 ___________________ Présidence de   M. Colombini , président Juges :           MM. Denys et Krieger Greffier :           M. d'Eggis ***** Art. 17, 461 CPC Vu le jugement par défaut rendu le 22 octobre 2009 par la Juge de paix des districts du Jura - Nord vaudois et du Gros-de-Vaud, dont la motivation a été expédiée le 7 décembre 2009 pour notification dans la cause divisant R.________ , à Yverdon-les-Bains, défendeur, d'avec I.________ , à Chavornay, demandeur , vu la lettre recommandée du 4 novembre 2009 dans laquelle le défendeur s'est opposé à la facture du demandeur et a exposé son point de vue, vu la lettre recommandée du 19 janvier 2010 par laquelle le président de la cour de céans a imparti au défendeur un délai de cinq jours pour énoncer exactement sa réclamation, en particulier si elle tendait à la nullité ou à la réforme, et pour préciser, le cas échéant, le montant exact (en chiffres) réclamé, contesté ou reconnu, faute de quoi le recours pourrait être déclaré irrecevable, vu les pièces du dossier; attendu que l'acte de recours doit énoncer les conclusions du recourant et celles-ci préciser clairement si elles tendent à la nullité ou à la réforme (art. 461 al. 1 let. b et al. 2 CPC), que ces exigences ne constituent pas une simple règle d'ordre, mais des conditions de recevabilité du recours (Poudret/Haldy/Tappy, Procédure civile vaudoise, 3 ème éd., 2002, n. 2 ad art. 461 CPC, p. 714), qu'en l'espèce, la lettre du 4 novembre 2009, si elle comprend une demande implicite de motivation du jugement, ne contient aucune conclusion formelle et n'indique pas la modification réclamée, qu'en dépit des indications données au pied du jugement attaqué, le défendeur n'a pas formulé de conclusions régulières à réception de la motivation, qu'il n'a pas non plus remédié à cette informalité dans le délai qui lui a été imparti à cet effet par le président de la cour de céans (art. 17 CPC applicable par le renvoi de l'art. 461 al. 3 CPC), qu'un tel recours est irrecevable; attendu que le présent arrêt peut être rendu sans frais. Par ces motifs, la Chambre des recours du Tribunal cantonal, statuant à huis clos, prononce : I. Le recours est irrecevable. II. L'arrêt, rendu sans frais, est exécutoire ainsi que le jugement de première instance. L e président : L e greffi er : Du L'arrêt qui précède, dont la rédaction a été approuvée à huis clos, est notifié à : ‑      M. R.________, ‑      M. I.________.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