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7 vom 12. Juni 2009</w:t>
      </w:r>
    </w:p>
    <w:p>
      <w:r>
        <w:t>VD Tribunal cantonal, 2009-06-12, FR</w:t>
      </w:r>
    </w:p>
    <w:p>
      <w:r>
        <w:rPr>
          <w:b/>
        </w:rPr>
        <w:t xml:space="preserve">Quelle: </w:t>
      </w:r>
      <w:r>
        <w:t>https://mcp.opencaselaw.ch/entscheid/vd_findinfo_Pron___2009___7</w:t>
      </w:r>
    </w:p>
    <w:p>
      <w:r>
        <w:t>FR: VD_FINDINFO Pron / 2009 / 7 du 12 juin 2009</w:t>
      </w:r>
    </w:p>
    <w:p>
      <w:r>
        <w:t>IT: VD_FINDINFO Pron / 2009 / 7 del 12 giugno 2009</w:t>
      </w:r>
    </w:p>
    <w:p>
      <w:pPr>
        <w:pStyle w:val="Heading2"/>
      </w:pPr>
      <w:r>
        <w:t>Regeste</w:t>
      </w:r>
    </w:p>
    <w:p>
      <w:r>
        <w:t>TRANSACTION{ACCORD}, PENSION D'ASSISTANCE, DIVORCE | 140 al. 1 CC, 158 al. 1 CPC</w:t>
      </w:r>
    </w:p>
    <w:p>
      <w:pPr>
        <w:pStyle w:val="Heading2"/>
      </w:pPr>
      <w:r>
        <w:t>Volltext</w:t>
      </w:r>
    </w:p>
    <w:p>
      <w:r>
        <w:t>Vaud Tribunal cantonal Chambre des recours civile 12.06.2009 Pron / 2009 / 7</w:t>
      </w:r>
    </w:p>
    <w:p>
      <w:r>
        <w:t>TRANSACTION{ACCORD}, PENSION D'ASSISTANCE, DIVORCE | 140 al. 1 CC, 158 al. 1 CPC</w:t>
      </w:r>
    </w:p>
    <w:p>
      <w:r>
        <w:t>TRIBUNAL CANTONAL 98/II CHAMBRE DES RECOURS ________________________________ Arrêt du 12 juin 2009 __________________ Présidence de   M. Denys , président Juges : MM. Battistolo et Colombini Greffier : M.        Jaillet ***** Art. 140 CC, 158 CPC Vu le jugement de divorce rendu le 18 octobre 2007 par le Tribunal civil de l'arrondissement de La Côte dans la cause divisant A.X.________ née [...] , demanderesse, à Vevey, d'avec B.X.________ , défendeur, à Saint-Prex, vu les recours interjetés le 29 octobre 2007 par A.X.________ et B.X.________ contre ce jugement, vu la convention sur les effets accessoires du divorce signée par les parties les 23 et 27 mai 2009, vu les pièces du dossier; attendu que la convention sur les effets du divorce n'est valable qu'une fois ratifiée par le juge; elle figure dans le dispositif du jugement (art. 140 al. 1 CC [Code civil suisse du 10 décembre 1907; RS 210]), qu'avant de ratifier la convention, le juge s'assure que les époux l'ont conclue après mûre réflexion et de leur plein gré, qu'elle est claire et complète et qu'elle n'est pas manifestement inéquitable (art. 140 al. 2 CC), que les conditions légales permettant à la cour de céans de ratifier la convention passée entre les parties dans la procédure de recours sont réalisées en l'espèce, qu'il y a donc lieu de ratifier cette convention pour valoir modification des chiffres III et IV du dispositif du jugement de divorce, qu'au surplus, la cause n'a plus d'objet et peut être rayée du rôle (art. 158 al. 1 CPC [Code de procédure civile du 14 décembre 1966; RSV 270.11]); attendu que le présent arrêt peut être rendu sans frais ni dépens (ch. IV de la convention). Par ces motifs, la Chambre des recours du Tribunal cantonal, statuant à huis clos, prononce : I. Ratifie, pour valoir jugement exécutoire, la convention signée les 23 et 27 mai 2009 par la recourante A.X.________ et par le recourant B.X.________ modifiant le dispositif du jugement de divorce rendu le 18 octobre 2007 par le Tribunal civil de l'arrondissement de La Côte comme suit: "I. Le chiffre III du dispositif du jugement précité est modifié ainsi: a) B.X.________ contribuera à l'entretien d'A.X.________, dès jugement, respectivement arrêt définitif et exécutoire, par le versement d'une pension mensuelle de 1'500 fr. (mille cinq cents), payable d'avance le 1 er de chaque mois, jusqu'à ce que le débiteur B.X.________ ait atteint l'âge de l'AVS. b) Tous revenus complémentaires qu'A.X.________ percevrait d'une activité lucrative viendront en déduction de la contribution d'entretien due par B.X.________ selon litt. a ci-dessus, ce à concurrence de moitié. II. Le chiffre IV du dispositif du jugement du 18 octobre 2007 est modifié comme suit: La pension mentionnée au chiffre I litt. a ci-dessus sera indexée à l'indice suisse des prix à la consommation, l'indice de base étant celui en vigueur à la date du présent jugement, respectivement arrêt définitif et exécutoire, l'indexation intervenant le premier janvier de chaque année sur la base de l'indice en vigueur au 30 novembre de l'année précédente, la première fois le premier janvier 2011 et pour autant que les revenus du débiteur de la pension soient également indexés, à charge pour lui de prouver que tel n'est pas le cas. III. Le jugement de divorce du 18 octobre 2007 est confirmé pour le surplus. IV. Chaque partie garde ses frais et honoraires de deuxième instance et renonce à tous autres dépens." II. Constate que les recours sont sans objet. III. Raye la cause du rôle, sans frais ni dépens. IV. Déclare exécutoires le présent arrêt et le jugement. L e président : L e greffi er : Du L'arrêt qui précède, dont la rédaction a été approuvée à huis clos, est notifié à : ‑      Me Jacques Michod (pour A.X.________), ‑      Me Colette Chable (pour B.X.________).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