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65 vom 30. November 2009</w:t>
      </w:r>
    </w:p>
    <w:p>
      <w:r>
        <w:t>VD Tribunal cantonal, 2009-11-30, FR</w:t>
      </w:r>
    </w:p>
    <w:p>
      <w:r>
        <w:rPr>
          <w:b/>
        </w:rPr>
        <w:t xml:space="preserve">Quelle: </w:t>
      </w:r>
      <w:r>
        <w:t>https://mcp.opencaselaw.ch/entscheid/vd_findinfo_Pron___2009___65</w:t>
      </w:r>
    </w:p>
    <w:p>
      <w:r>
        <w:t>FR: VD_FINDINFO Pron / 2009 / 65 du 30 novembre 2009</w:t>
      </w:r>
    </w:p>
    <w:p>
      <w:r>
        <w:t>IT: VD_FINDINFO Pron / 2009 / 65 del 30 novembre 2009</w:t>
      </w:r>
    </w:p>
    <w:p>
      <w:pPr>
        <w:pStyle w:val="Heading2"/>
      </w:pPr>
      <w:r>
        <w:t>Regeste</w:t>
      </w:r>
    </w:p>
    <w:p>
      <w:r>
        <w:t>CONCLUSIONS, OBLIGATION DE CHIFFRER LES CONCLUSIONS, VICE DE FORME, ACTE DE RECOURS, FORME ET CONTENU, MOTIF DU RECOURS, OBJET DU RECOURS, TYPE DE RECOURS | 17 CPC, 461 CPC</w:t>
      </w:r>
    </w:p>
    <w:p>
      <w:pPr>
        <w:pStyle w:val="Heading2"/>
      </w:pPr>
      <w:r>
        <w:t>Volltext</w:t>
      </w:r>
    </w:p>
    <w:p>
      <w:r>
        <w:t>Vaud Tribunal cantonal Chambre des recours civile 30.11.2009 Pron / 2009 / 65</w:t>
      </w:r>
    </w:p>
    <w:p>
      <w:r>
        <w:t>CONCLUSIONS, OBLIGATION DE CHIFFRER LES CONCLUSIONS, VICE DE FORME, ACTE DE RECOURS, FORME ET CONTENU, MOTIF DU RECOURS, OBJET DU RECOURS, TYPE DE RECOURS | 17 CPC, 461 CPC</w:t>
      </w:r>
    </w:p>
    <w:p>
      <w:r>
        <w:t>TRIBUNAL CANTONAL 592/I CHAMBRE DES RECOURS ________________________________ Arrêt du 30 novembre 2009 __________________ Présidence de   M. Colombini , président Juges : MM      Giroud et  Denys Greffier : Mme   Gabaz ***** Art. 17 et 461 CPC Vu l'ordonnance d'expulsion rendue le 25 septembre 2009 par le Juge de paix du district de la Riviera-Pays-d'Enhaut dans la cause divisant Q.________ , à Vevey, locataire, d'avec H.________ , à Vevey, bailleresse , vu le recours interjeté par Q.________ le 16 octobre 2009 contre l'ordonnance précitée, vu le courrier du recourant du 21 octobre 2009 dans lequel il développe les motifs de son recours, vu la lettre recommandée du Président de la cour de céans du 23 octobre 2009, avisant le recourant que son acte de recours ne contient pas de conclusions et n'indique pas si son recours tend à la nullité - c'est-à-dire à l'annulation du jugement attaqué en raison d'une irrégularité dans la procédure suivie - ou à la réforme - c'est-à-dire à la modification du jugement critiqué dans un sens à préciser , et lui impartissant un délai de cinq jours, dès réception de l'avis, pour refaire l'acte de recours, faute de quoi son recours sera déclaré irrecevable, vu le récépissé postal attestant que cet avis a été remis au recourant le 31 octobre 2009, vu les autres pièces du dossier ; attendu que, selon l'art. 461 al. 1 CPC (Code de procédure civile du 14 décembre 1966 ; RSV 270.11), l'acte de recours doit contenir les conclusions du recourant (al. 1 let. b) et indiquer s'il tend à la nullité ou à la réforme du jugement (al. 2), que les exigences de cette disposition ne constituent pas une simple règle d'ordre, mais des conditions de recevabilité du recours (Poudret/Haldy/Tappy, Procédure civile vaudoise, 3 ème éd., Lausanne 2002, n. 2 ad art. 461 CPC, pp. 714‑715), qu'en l'espèce, l'acte du recourant du 16 octobre 2009 ne contient pas de conclusions et n'indique pas s'il tend à la nullité ou à la réforme du jugement attaqué, qu'il en va de même de son courrier du 21 octobre 2009, qu'ils ne sont en conséquence pas conformes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par lettre du 23 octobre 2009, remise à son destinataire le 30 octobre 2009, le Président de la cour de céans a imparti un délai de cinq jours au recourant, dès réception de l'avis, pour refaire son acte conformément aux règles de procédure, que le recourant n'a pas déposé de nouvel acte dans le délai imparti, que, dès lors que son recours n'est pas conforme aux exigences de l'article 461 CPC, il doit être déclaré irrecevable ; attendu que l'arrêt est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 Q.________, ‑      M. Jean-Marc Schlaeppi (pour 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