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59 vom 4. November 2009</w:t>
      </w:r>
    </w:p>
    <w:p>
      <w:r>
        <w:t>VD Tribunal cantonal, 2009-11-04, FR</w:t>
      </w:r>
    </w:p>
    <w:p>
      <w:r>
        <w:rPr>
          <w:b/>
        </w:rPr>
        <w:t xml:space="preserve">Quelle: </w:t>
      </w:r>
      <w:r>
        <w:t>https://mcp.opencaselaw.ch/entscheid/vd_findinfo_Pron___2009___59</w:t>
      </w:r>
    </w:p>
    <w:p>
      <w:r>
        <w:t>FR: VD_FINDINFO Pron / 2009 / 59 du 4 novembre 2009</w:t>
      </w:r>
    </w:p>
    <w:p>
      <w:r>
        <w:t>IT: VD_FINDINFO Pron / 2009 / 59 del 4 novembre 2009</w:t>
      </w:r>
    </w:p>
    <w:p>
      <w:pPr>
        <w:pStyle w:val="Heading2"/>
      </w:pPr>
      <w:r>
        <w:t>Regeste</w:t>
      </w:r>
    </w:p>
    <w:p>
      <w:r>
        <w:t>MODIFICATION DE LA DEMANDE, ACTE DE RECOURS | 154 CPC</w:t>
      </w:r>
    </w:p>
    <w:p>
      <w:pPr>
        <w:pStyle w:val="Heading2"/>
      </w:pPr>
      <w:r>
        <w:t>Volltext</w:t>
      </w:r>
    </w:p>
    <w:p>
      <w:r>
        <w:t>Vaud Tribunal cantonal Chambre des recours civile 04.11.2009 Pron / 2009 / 59</w:t>
      </w:r>
    </w:p>
    <w:p>
      <w:r>
        <w:t>MODIFICATION DE LA DEMANDE, ACTE DE RECOURS | 154 CPC</w:t>
      </w:r>
    </w:p>
    <w:p>
      <w:r>
        <w:t>TRIBUNAL CANTONAL 557/I CHAMBRE DES RECOURS ________________________________ Arrêt du 4 novembre 2009 _____________________ Présidence de   M. Colombini , président Juges : MM. F. Meylan et Giroud Greffier : M.        Perret ***** Art. 154 CPC Vu le procès ouvert devant la Cour civile du Tribunal cantonal (ci-après : la Cour civile) par la demanderesse G.________ , à Lausanne, contre la défenderesse F.________ SA , à Zurich, par demande du 20 octobre 2005, vu la requête de réforme déposée le 13 mai 2009, par laquelle la demanderesse au fond et requérante à l'incident G.________ a sollicité, avec suite de frais et dépens, l'autorisation de se réformer pour introduire les allégués 209 à 230 figurant dans sa requête, vu le courrier du 8 juin 2009 par lequel la défenderesse au fond et intimée à l'incident F.________ SA s'est opposée à la requête de réforme et a requis la fixation d'un délai pour déposer sa détermination, vu le mémoire incident déposé le 26 juin 2009 par l'intimée, laquelle a conclu, avec suite de dépens, au rejet de la requête de réforme, vu le jugement incident du 9 octobre 2009, adressé le même jour aux parties pour notification, par lequel le Juge instructeur de la Cour civile a rejeté la requête de réforme (I) , arrêté les frais de la procédure incidente à 900 fr. à la charge de la requérante (II) et alloué à l'intimée le montant de 1'500 fr. à titre de dépens de l'incident (III), vu l'acte de recours interjeté le 22 octobre 2009 par G.________, concluant, avec dépens, à la réforme de ce jugement en ce sens que la requête de réforme est admise, vu les pièces du dossier; attendu que le jugement incident écartant une demande de réforme ne peut pas faire l'objet d'un recours immédiat, mais peut être invoqué à l'appui d'un recours en nullité contre le jugement au fond, qu'il convient cependant de réserver le cas où la réforme tend à introduire une conclusion nouvelle ou à augmenter une conclusion, le jugement incident rendu à ce sujet étant alors susceptible d'un recours immédiat (Poudret/ Haldy/Tappy, Procédure civile vaudoise, 3 ème éd., Lausanne 2002, n. 2 ad art. 154 CPC et les références citées; Ch. rec., 551, 10 juillet 2006, c. 1a), qu'en l'espèce, la requête de réforme tend uniquement à introduire des allégués nouveaux ( 209 à 230 ), sans conclusions nouvelles ou plus amples, qu'il s'ensuit que la voie du recours immédiat n'est pas ouverte, que le recours est par conséquent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Me Philippe Nordmann (pour G.________), ‑      Me Jean-Michel Duc (pour F.________ SA). Il prend date de ce jour. La Chambre des recours considère que la valeur litigieuse est de 2'488'265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