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18 vom 7. Juli 2009</w:t>
      </w:r>
    </w:p>
    <w:p>
      <w:r>
        <w:t>VD Tribunal cantonal, 2009-07-07, FR</w:t>
      </w:r>
    </w:p>
    <w:p>
      <w:r>
        <w:rPr>
          <w:b/>
        </w:rPr>
        <w:t xml:space="preserve">Quelle: </w:t>
      </w:r>
      <w:r>
        <w:t>https://mcp.opencaselaw.ch/entscheid/vd_findinfo_Pron___2009___18</w:t>
      </w:r>
    </w:p>
    <w:p>
      <w:r>
        <w:t>FR: VD_FINDINFO Pron / 2009 / 18 du 7 juillet 2009</w:t>
      </w:r>
    </w:p>
    <w:p>
      <w:r>
        <w:t>IT: VD_FINDINFO Pron / 2009 / 18 del 7 luglio 2009</w:t>
      </w:r>
    </w:p>
    <w:p>
      <w:pPr>
        <w:pStyle w:val="Heading2"/>
      </w:pPr>
      <w:r>
        <w:t>Regeste</w:t>
      </w:r>
    </w:p>
    <w:p>
      <w:r>
        <w:t>AVANCE DE FRAIS | 13 al. 1 TFJC</w:t>
      </w:r>
    </w:p>
    <w:p>
      <w:pPr>
        <w:pStyle w:val="Heading2"/>
      </w:pPr>
      <w:r>
        <w:t>Volltext</w:t>
      </w:r>
    </w:p>
    <w:p>
      <w:r>
        <w:t>Vaud Tribunal cantonal Chambre des recours civile 07.07.2009 Pron / 2009 / 18</w:t>
      </w:r>
    </w:p>
    <w:p>
      <w:r>
        <w:t>AVANCE DE FRAIS | 13 al. 1 TFJC</w:t>
      </w:r>
    </w:p>
    <w:p>
      <w:r>
        <w:t>TRIBUNAL CANTONAL 353/1 LE PRESIDENT DE LA CHAMBRE DES RECOURS ________________________________ Arrêt du 7 juillet 2009 __________________ Vu l'ordonnance rendue le 7 mai 2009 par le Juge de paix du district de l'Ouest lausannois dans la cause divisant N.________ , bailleresse, à Crissier, d'avec L.________ , locataire, à Ecublens, vu le recours interjeté par L.________ contre cette ordonnance, vu l'art. 13 al. 1 TFJC (tarif des frais judiciaires en matière civile du 4 décembre 1984, RSV 270.11.5), vu le courrier du greffe de la cour de céans du 27 mai 2009, notifié le 30 mai 2009 au recourant, impartissant à celui-ci un délai au 16 juin 2009 pour qu'il verse l'avance des frais de recours, faute de quoi son recours serait réputé non avenu, vu le paiement de dite avance le 22 juin 2009, vu la lettre du Président de la Chambre des recours du 26 juin 2009, impartissant au recourant un délai au 7 juillet 2009 pour qu'il fournisse les raisons de son paiement à première vue tardif, sous peine d'irrecevabilité de son recours, vu le courrier du 30 juin 2009, dans lequel le recourant a expliqué avoir oublié d'effectuer le paiement dans le délai indiqué en raison d'une surcharge professionnelle,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qu'excepté les cas d'assistance judiciaire, la partie qui ne fait pas l'avance de frais dans le délai fixé est déchue du droit de requérir l'opération (art. 90 al. 3 CPC; art. 13 al. 1 TFJC), qu'en l'espèce, par courrier recommandé du 27 mai 2009, notifié le 30 mai 2009, le recourant a été invité à effectuer jusqu'au 16 juin 2009 l'avance des frais de recours, que le paiement de dite avance, intervenu le 22 juin 2009, est donc tardif; attendu que, conformément à l'article 464 CPC, le Président de la Chambre des recours a, par lettre recommandée du 26 juin 2009, imparti au recourant un délai au 7 juillet 2009 pour qu'il fournisse toutes explications utiles sur l'apparente tardiveté du paiement de l'avance des frais, que dans son courrier du 30 juin 2009, le recourant admet la tardiveté du paiement, en indiquant avoir omis de procéder au versement en raison d'une surcharge professionnelle, qu'en conséquence, à défaut d'avance de frais versée en temps utile, le recours doit être écarté; attendu que le présent arrêt peut être rendu sans frais. Le Président de la Chambre des recours du Tribunal cantonal : I. dit que le recours est écarté. II. raye la cause du rôle. III. déclare le présent arrêt, rendu sans frais, exécutoire, ainsi que l'ordonnance de première instance. Le président : Du L'arrêt qui précède, dont la rédaction a été approuvée à huis clos, est notifié à : ‑      M. L.________, ‑      M. Alain Vuffray, agent d'affaires breveté (pour N.________), et communiqué à : -      M. le Juge de paix du district de l'Ouest lausannois, par l'envoi de photocopies. Il prend date de ce jour. La greffière : La Chambre des recours considère que la valeur litigieuse est supérieure à 15'000 francs.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er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