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2009 / 11 vom 24. Juni 2009</w:t>
      </w:r>
    </w:p>
    <w:p>
      <w:r>
        <w:t>VD Tribunal cantonal, 2009-06-24, FR</w:t>
      </w:r>
    </w:p>
    <w:p>
      <w:r>
        <w:rPr>
          <w:b/>
        </w:rPr>
        <w:t xml:space="preserve">Quelle: </w:t>
      </w:r>
      <w:r>
        <w:t>https://mcp.opencaselaw.ch/entscheid/vd_findinfo_Pron___2009___11</w:t>
      </w:r>
    </w:p>
    <w:p>
      <w:r>
        <w:t>FR: VD_FINDINFO Pron / 2009 / 11 du 24 juin 2009</w:t>
      </w:r>
    </w:p>
    <w:p>
      <w:r>
        <w:t>IT: VD_FINDINFO Pron / 2009 / 11 del 24 giugno 2009</w:t>
      </w:r>
    </w:p>
    <w:p>
      <w:pPr>
        <w:pStyle w:val="Heading2"/>
      </w:pPr>
      <w:r>
        <w:t>Regeste</w:t>
      </w:r>
    </w:p>
    <w:p>
      <w:r>
        <w:t>EXPULSION DE LOCATAIRE, SOUS-LOCATAIRE, QUALITÉ POUR RECOURIR, LOI CANTONALE RELATIVE À LA PROCÉDURE EN MATIÈRE DE BAIL | 257d CO, 23 LPEBL</w:t>
      </w:r>
    </w:p>
    <w:p>
      <w:pPr>
        <w:pStyle w:val="Heading2"/>
      </w:pPr>
      <w:r>
        <w:t>Volltext</w:t>
      </w:r>
    </w:p>
    <w:p>
      <w:r>
        <w:t>Vaud Tribunal cantonal Chambre des recours civile 24.06.2009 Pron / 2009 / 11</w:t>
      </w:r>
    </w:p>
    <w:p>
      <w:r>
        <w:t>EXPULSION DE LOCATAIRE, SOUS-LOCATAIRE, QUALITÉ POUR RECOURIR, LOI CANTONALE RELATIVE À LA PROCÉDURE EN MATIÈRE DE BAIL | 257d CO, 23 LPEBL</w:t>
      </w:r>
    </w:p>
    <w:p>
      <w:r>
        <w:t>TRIBUNAL CANTONAL 306/I CHAMBRE DES RECOURS ________________________________ Arrêt du 24 juin 2009 _________________ Présidence de   M. Colombini , président Juges : MM.     Giroud et Creux Greffière : Mme   Rossi ***** Art. 257d CO; 23 LPEBL Vu l'ordonnance d'expulsion rendue le 13 mai 2009 à la requête de W.________ SA , domicile élu à Lausanne, bailleresse, par laquelle la Juge de paix du district de l'Ouest lausannois a prononcé qu' A. M.________ et B. M.________, à Neuchâtel, locataires, doivent quitter et rendre libres pour le mardi 23 juin 2009 à midi l'appartement de trois pièces n o [...], à Renens, ainsi que la cave n o [...], avec les mentions en vue de l'exécution forcée, pour défaut dans le paiement du loyer, vu le recours, daté du 29 mai 2009 et remis à la poste le 3 juin 2009, interjeté par P.________ , à Renens, dans lequel il expose être l'occupant des locaux en cause, avoir réglé les arriérés de loyer dus et demande l'annulation de l'ordonnance précitée, vu les autres pièces du dossier; attendu que, selon l'art. 23 LPEBL (loi du 18 mai 1955 sur la procédure d'expulsion en matière de baux à loyer et à ferme; RSV 221.305), la voie du recours en nullité (al. 1) et du recours pour déni de justice (al. 2) est ouverte au Tribunal cantonal contre les ordonnances d'expulsion rendues en application de la LPEBL, qu'en droit du bail, la sous-location n'engendre pas de relations contractuelles directes entre le bailleur principal et le sous-locataire (ATF 120 II 112, JT 1995 I 202, c. 3; Lachat, Commentaire romand, 2003, n. 7 ad art. 262 CO, p. 1371), que la condamnation du locataire à évacuer les locaux contraint le sous-locataire à libérer les lieux, qu'hormis le cas prévu à l'art. 9 LPEBL concernant la citation à comparaître du conjoint ou du partenaire enregistré du locataire lorsque la chose louée sert de logement à la famille ou de logement commun, les tiers qui occupent les locaux sans être parties au contrat de bail - notamment les sous-locataires - ne peuvent pas être parties à la procédure d'expulsion et ne peuvent ainsi pas prétendre à être entendus, ni à se voir notifier la requête et l'ordonnance d'expulsion rendue contre le locataire ( Guignard, in Procédures spéciales vaudoises, n. 2 ad art. 1 LPEBL, p. 172; Ch. rec., 4 avril 2006, n o 245), qu'un tiers occupant n'a par conséquent pas qualité pour recourir contre une ordonnance d'expulsion rendue à l'encontre du locataire (ibidem), qu'en l'espèce, le recourant indique habiter dans l'appartement en cause mais n'est pas partie au contrat de bail, ni a fortiori à la procédure d'expulsion, que le recours doit ainsi être écarté; attendu que le présent arrêt peut être rendu sans frais. Par ces motifs, la Chambre des recours du Tribunal cantonal, statuant à huis clos, prononce : I. Le recours est écarté. II. L'arrêt, rendu sans frais, est exécutoire, ainsi que l'ordonnance de première instance. L e président : L a greffi ère : Du L'arrêt qui précède, dont la rédaction a été approuvée à huis clos, est notifié à : ‑      M. P.________, ‑      M. Jean-Marc Schlaeppi (pour W.________ SA), -      Mme A. M.________, -      M. B. M.________. Il prend date de ce jour. La Chambre des recours considère que la valeur litigieuse est de 68'175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l'Ouest lausannois.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