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2023 / 44 vom 29. Dezember 2023</w:t>
      </w:r>
    </w:p>
    <w:p>
      <w:r>
        <w:t>VD Tribunal cantonal, 2023-12-29, FR</w:t>
      </w:r>
    </w:p>
    <w:p>
      <w:r>
        <w:rPr>
          <w:b/>
        </w:rPr>
        <w:t xml:space="preserve">Quelle: </w:t>
      </w:r>
      <w:r>
        <w:t>https://mcp.opencaselaw.ch/entscheid/vd_findinfo_Plainte___2023___44</w:t>
      </w:r>
    </w:p>
    <w:p>
      <w:r>
        <w:t>FR: VD_FINDINFO Plainte / 2023 / 44 du 29 décembre 2023</w:t>
      </w:r>
    </w:p>
    <w:p>
      <w:r>
        <w:t>IT: VD_FINDINFO Plainte / 2023 / 44 del 29 dicembre 2023</w:t>
      </w:r>
    </w:p>
    <w:p>
      <w:pPr>
        <w:pStyle w:val="Heading2"/>
      </w:pPr>
      <w:r>
        <w:t>Regeste</w:t>
      </w:r>
    </w:p>
    <w:p>
      <w:r>
        <w:t>DISPOSITIF, CHOSE JUGÉE, MAINLEVÉE DÉFINITIVE, RÉQUISITION DE CONTINUER LA POURSUITE | 88 al. 1 LP, 88 LP, 239 al. 2 CPC (CH), 336 CPC (CH)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LP. III. En conclusion, le recours doit être rejeté et la décision confirmée. Le présent arrêt est rendu sans frais judiciaires ni dépens (art. 20a ch. 5 LP ; Art. 62 al. 2 let. a et 62 al. 2 OELP [ordonnance du 23 septembre 1996 sur les émoluments perçus en application de la LP 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