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30 vom 27. Juli 2021</w:t>
      </w:r>
    </w:p>
    <w:p>
      <w:r>
        <w:t>VD Tribunal cantonal, 2021-07-27, FR</w:t>
      </w:r>
    </w:p>
    <w:p>
      <w:r>
        <w:rPr>
          <w:b/>
        </w:rPr>
        <w:t xml:space="preserve">Quelle: </w:t>
      </w:r>
      <w:r>
        <w:t>https://mcp.opencaselaw.ch/entscheid/vd_findinfo_Plainte___2021___30</w:t>
      </w:r>
    </w:p>
    <w:p>
      <w:r>
        <w:t>FR: VD_FINDINFO Plainte / 2021 / 30 du 27 juillet 2021</w:t>
      </w:r>
    </w:p>
    <w:p>
      <w:r>
        <w:t>IT: VD_FINDINFO Plainte / 2021 / 30 del 27 luglio 2021</w:t>
      </w:r>
    </w:p>
    <w:p>
      <w:pPr>
        <w:pStyle w:val="Heading2"/>
      </w:pPr>
      <w:r>
        <w:t>Regeste</w:t>
      </w:r>
    </w:p>
    <w:p>
      <w:r>
        <w:t>RÉQUISITION DE POURSUITE, ABUS DE DROIT | 2 al. 1 CC, 2 al. 2 CC, 71 al. 1 LP</w:t>
      </w:r>
    </w:p>
    <w:p>
      <w:pPr>
        <w:pStyle w:val="Heading2"/>
      </w:pPr>
      <w:r>
        <w:t>Erwägungen</w:t>
      </w:r>
    </w:p>
    <w:p>
      <w:r>
        <w:rPr>
          <w:b/>
        </w:rPr>
        <w:t>E. 4</w:t>
      </w:r>
    </w:p>
    <w:p>
      <w:r>
        <w:t>LVLP). Les déterminations de l’Office, comme celles de l’intimé, sont recevables (art. 31 al. 1 LVLP). La recevabilité des écritures produites par le recourant et par l’intimé les 21 juin et 8 juillet est douteuse, dès lors que, vu leur contenu, ces écritures ne peuvent être qualifiées de répliques spontanées à celles qui les ont précédées. La question peut toutefois rester ouverte, ces écritures n’ayant pas d’influence sur le sort du recours. II. Le recourant conteste l’admission de la plainte. Il fait valoir sa position dans le cadre des procédures civiles et pénales qui l’ont opposé à un adversaire représenté par l’intimé. a) aa) Chacun est tenu d’exercer ses droits et d’exécuter ses obligations selon les règles de la bonne foi (art. 2 al. 1 CC [Code civil ; RS 210]). L’abus manifeste d’un droit n’est pas protégé par la loi (art. 2 al. 2 CC). Le principe de la bonne foi s’applique aussi dans le droit de l’exécution forcée (ATF 113 III 2 consid. 2a, JdT 1989 II 120 ; TF 5A_563/2018 du 12 août 2019 consid. 3.5.1).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143 III 279 consid. 3.1 ; ATF 135 III 162 consid. 3.3.1 et les arrêts cités). bb)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consid. 2.3.1, JdT 2015 II 298 ; TF 5A_563/2018 consid. 3.5.1 précité)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II 76). Dans ce dernier arrêt, le Tribunal fédéral a ainsi relevé que le procédé consistant à notifier quatre commandements de payer en quinze mois, fondés sur la même cause et pour une somme totale de 775’000 fr., sans jamais demander la mainlevée de l’opposition ni la reconnaissance judiciaire de la créance, pouvait constituer un abus de droit manifeste ;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du 11 août 2005 consid. 3 in fine ) ; a également été jugée abusive la poursuite intentée par une personne invoquant comme cause de l'obligation une « complicité de vol », alors que sa plainte pénale avait été définitivement classée quatre ans auparavant (TF 5A_250/2007 du 19 septembre 2007 consid. 3.2). Selon le Tribunal fédéral, une poursuite peut également être abusive lorsqu’elle consacre une attitude contradictoire ( venire contra factum proprium ) : notre Haute Cour a ainsi jugé qu’une réquisition de poursuite, déposée trois jours avant des pourparlers transactionnels que le poursuivant avait lui-même initiés et qui avaient pour objet le retrait d’une précédente poursuite, était abusive (ATF 140 III 481 consid. 2.3.2 et 2.3.3, JdT 2015 II 298). cc) La procédure de plainte et de recours (art. 17 ss LP) ne permet pas d'obtenir, en invoquant l'art. 2 CC, l'annulation de la procédure de poursuite dans la mesure où le grief d'abus de droit est invoqué à l'encontre de la prétention litigieuse ; la décision sur ce point est réservée au juge ordinaire (ATF 113 III 2b, JdT 1989 II 120). En effet, c'est une particularité du droit suisse que de permettre l'introduction d'une poursuite sans devoir prouver l'existence de la créance. Le commandement de payer peut en principe être obtenu contre tout le monde, indépendamment de l’existence ou de l’inexistence d’une créance en réalité (ATF 125 III 149 consid. 2a, JdT 1999 II 67). Il n’appartient ni à l’office des poursuites ni aux autorités de surveillance de décider si une prétention litigieuse est exigée à bon droit ou non (ATF 113 III 2 consid. 2b, JdT 1989 II 120). Il est donc « pratiquement exclu » que le créancier obtienne de manière abusive l’émission d’un commandement de payer, ce qui ne signifie pas que cette hypothèse ne puisse pas se réaliser (TF 5A_838/2016 du 13 mars 2017 consid. 2.1 ; TF 5A_317/2015 du 13 octobre 2015 consid. 2.1). Le Tribunal fédéral admet cependant que l’autorité de surveillance ne peut pas calquer son pouvoir d’examen sur celui de l’office, car elle statue dans le cadre d’une procédure contradictoire régie par la maxime inquisitoire, tempérée par l’obligation de collaborer des parties ; abstraction faite de l'éventualité où elle est indubitable (« ausser Zweifel »), ou « d'emblée manifeste », la nullité d'une mesure de l'office ne peut pas être constatée par le juge ; pareille compétence appartient aux autorités de surveillance (ATF 140 III 175 consid. 4.3 et les références). b) En l’espèce, on doit donc admettre que s’il n’y a rien à reprocher à l’Office – qui a donné suite à la réquisition de poursuite dont il était saisi par la notification du commandement de payer, conformément à l’art. 71 al. 1 LP - le dossier permettait à l’autorité inférieure de surveillance de constater que la poursuite était bien abusive. Tous les griefs du recourant ont trait au sort des procédures civiles et pénales dans le cadre desquelles sa partie adverse était assistée de l’intimé. Or, l’avocat ne peut être assimilé à son client. Il ressort du recours et des pièces produites que le recourant a eu, lui aussi, un avocat dans ces procédures. Il allègue en avoir, pour certaines, contesté le résultat. Il devait donc être capable de faire la part des choses et ne pas s’en prendre à l’avocat de sa partie adverse, par esprit de chicane. Or, il montre clairement qu’il en veut à l’intimé en le qualifiant « d’individu malhonnête » qui « se prend pour un avocat ». Il ne peut pas sérieusement soutenir qu’il croit avoir une créance contre l’intimé. Il résulte en outre de l’ordonnance de non-entrée en matière du 19 novembre 2020 produite à l’appui de son recours qu’il a tenté en vain de s’en prendre à l’intimé et à son client par le dépôt d’une plainte pénale, avant d’utiliser la voie de la poursuite. On doit ainsi constater, comme l’a fait l’autorité précédente, qu’en requérant la poursuite litigieuse contre l’intimé, le recourant a utilisé une institution juridique de manière manifestement contraire au but de celle-ci. Le recourant annonçant son intention de renouveler sa réquisition de poursuite contre l’intimé, il y a lieu de relever qu’une poursuite abusive pourrait être constitutive de l’infraction pénale de contrainte ou de tentative de contrainte. III. Vu ce qui précède, le recours doit être rejeté et le prononcé de l’autorité précédente confirmé. Le présent arrêt est rendu sans frais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