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2020 / 21 vom 12. Mai 2020</w:t>
      </w:r>
    </w:p>
    <w:p>
      <w:r>
        <w:t>VD Tribunal cantonal, 2020-05-12, FR</w:t>
      </w:r>
    </w:p>
    <w:p>
      <w:r>
        <w:rPr>
          <w:b/>
        </w:rPr>
        <w:t xml:space="preserve">Quelle: </w:t>
      </w:r>
      <w:r>
        <w:t>https://mcp.opencaselaw.ch/entscheid/vd_findinfo_Plainte___2020___21</w:t>
      </w:r>
    </w:p>
    <w:p>
      <w:r>
        <w:t>FR: VD_FINDINFO Plainte / 2020 / 21 du 12 mai 2020</w:t>
      </w:r>
    </w:p>
    <w:p>
      <w:r>
        <w:t>IT: VD_FINDINFO Plainte / 2020 / 21 del 12 maggio 2020</w:t>
      </w:r>
    </w:p>
    <w:p>
      <w:pPr>
        <w:pStyle w:val="Heading2"/>
      </w:pPr>
      <w:r>
        <w:t>Regeste</w:t>
      </w:r>
    </w:p>
    <w:p>
      <w:r>
        <w:t>COMMANDEMENT DE PAYER, NOTIFICATION IRRÉGULIÈRE, ANNULABILITÉ, OPPOSITION TARDIVE, OBSERVATION DU DÉLAI, ADRESSE, OFFICE DES POURSUITES, SOCIÉTÉ À RESPONSABILITÉ LIMITÉE, REPRÉSENTANT, ASSOCIÉ GÉRANT, MÉNAGE COMMUN | 18 al. 1 LP, 64 al. 1 LP, 65 al. 1 ch. 2 LP, 65 al. 2 LP, 74 al. 1 LP</w:t>
      </w:r>
    </w:p>
    <w:p>
      <w:pPr>
        <w:pStyle w:val="Heading2"/>
      </w:pPr>
      <w:r>
        <w:t>Erwägungen</w:t>
      </w:r>
    </w:p>
    <w:p>
      <w:r>
        <w:rPr>
          <w:b/>
        </w:rPr>
        <w:t>E. 1</w:t>
      </w:r>
    </w:p>
    <w:p>
      <w:r>
        <w:t>er novembre 2019 est intervenu bien après l’échéance du délai d’opposition. C’est ainsi à juste titre que l’opposition a été déclarée tardive. III. En conclusion, le recours doit être rejeté et le prononcé de l'autorité inférieure de surveillance confirmé, par substitution de motifs. Le présent arrêt est rendu sans frais ni dépens (art. 20a al. 2 ch. 5 LP, 61 al. 2 let. a et 62 al. 2 OELP [ordonnance sur les émoluments perçus en application de la LP ;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