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10 vom 6. April 2020</w:t>
      </w:r>
    </w:p>
    <w:p>
      <w:r>
        <w:t>VD Tribunal cantonal, 2020-04-06, FR</w:t>
      </w:r>
    </w:p>
    <w:p>
      <w:r>
        <w:rPr>
          <w:b/>
        </w:rPr>
        <w:t xml:space="preserve">Quelle: </w:t>
      </w:r>
      <w:r>
        <w:t>https://mcp.opencaselaw.ch/entscheid/vd_findinfo_Plainte___2020___10</w:t>
      </w:r>
    </w:p>
    <w:p>
      <w:r>
        <w:t>FR: VD_FINDINFO Plainte / 2020 / 10 du 6 avril 2020</w:t>
      </w:r>
    </w:p>
    <w:p>
      <w:r>
        <w:t>IT: VD_FINDINFO Plainte / 2020 / 10 del 6 aprile 2020</w:t>
      </w:r>
    </w:p>
    <w:p>
      <w:pPr>
        <w:pStyle w:val="Heading2"/>
      </w:pPr>
      <w:r>
        <w:t>Regeste</w:t>
      </w:r>
    </w:p>
    <w:p>
      <w:r>
        <w:t>PLAINTE{LP}, EXÉCUTION DE LA SAISIE, MINIMUM VITAL, LOYER, BAIL À LOYER, ASSISTANCE JUDICIAIRE | 29 al. 3 Cst., 17 LP, 93 al. 1 LP</w:t>
      </w:r>
    </w:p>
    <w:p>
      <w:pPr>
        <w:pStyle w:val="Heading2"/>
      </w:pPr>
      <w:r>
        <w:t>Erwägungen</w:t>
      </w:r>
    </w:p>
    <w:p>
      <w:r>
        <w:rPr>
          <w:b/>
        </w:rPr>
        <w:t>E. 2</w:t>
      </w:r>
    </w:p>
    <w:p>
      <w:r>
        <w:t>OELP [ordonnance du 23 septembre 1996 sur les émoluments perçus en application de la LP ; RS 281.35]). b) L'intimée a requis l'assistance judiciaire dans la procédure de recours. aa) L'assistance judiciaire en matière de plainte est régie par l'art. 29 al. 3 Cst. (Constitution fédérale du 18 avril 1999 ; RS 101), en vertu duquel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Le droit à l'assistance judiciaire n'est pas exclu par principe dans la procédure de plainte des art. 17 ss LP, mais, dans la mesure où cette procédure est régie par la maxime d'office, l'assistance d'un avocat n'est en général pas nécessaire. Toutefois, une telle assistance peut se révéler indispensable en raison de la complexité de l'affaire ou des questions à résoudre, des connaissances juridiques insuffisantes du requérant ou de l'importance des intérêts en jeu (ATF 122 III 392, JdT 1998 II 185 et réf. cit.; TF 5A_236/2010 du 21 juillet 2010 c. 6.1). bb) Au vu du sort du recours et de sa situation financière ressortant de la requête et des pièces qu'elle a produites, il y a lieu d'accorder à l'intimée le bénéfice de cette assistance, avec effet au 17 janvier 2020, et de désigner Me Milena Lippens comme son avocat d'office. cc) Me Lippens a déposé une liste d'opérations datée du 16 janvier 2020, faisant état de 9 h 65 pour des opérations effectuées depuis le 2 décembre 2020. Au vu de la jurisprudence bien établie mentionnée dans le prononcé attaqué et d'ailleurs rappelé dans le recours, la cause était factuellement et juridiquement simple. Selon dite jurisprudence, les seules questions à résoudre étaient d'ailleurs de savoir si le nombre de pièces admissibles était de deux et le montant du loyer moyen. La première a été arrêtée en première instance, sans que l'intimée ne soulève aucun argument juridique ou factuel pertinent à son encontre. La seconde dépendait des statistiques déjà au dossier, que l'intimée ne discute même pas sérieusement. Dans ces circonstances et compte tenu du fait que le conseil d'office de l'intimée l'était déjà en première instance où les mêmes questions se sont posées, il se justifie de réduire à 1.5 h le temps nécessaire pour déposer des déterminations utiles à la cause, au lieu des 5.40 h indiquées. Pour les mêmes motifs, il se justifie également de réduire le temps passé en conférence et entretiens téléphoniques avec la cliente de 2.35 h à 0.5 h. Enfin la préparation d'un bordereau, évalué à hauteur de 0,5 h relève d'un pur travail de secrétariat qui fait partie des frais généraux de l'avocat couverts par le tarif horaire applicable (Juge délégué CACI 29 avril 2019/228 consid. 5.2 et les références citées). On aboutit ainsi à un total de 3.4 heures. Au tarif horaire de 180 fr. (art. 2 al. 1 let. a RAJ [règlement sur l'assistance judiciaire en matière civile ; BLV 211.02.3]), cela équivaut à un défraiement de 612 fr., à quoi s'ajoutent des débours de 2% du défraiement (art. 3bis al. 1 RAJ), soit 12 fr. 24, et la TVA sur le tout (art. 2 al. 3 RAJ), soit 48 fr. 06. L'indemnité totale du conseil d'office est donc fixée à 672 fr. 30 fr., montant arrondi à 670 fr., aucun montant supplémentaire ne pouvant être demandé en plus à l'intimée par son conseil (cf. TF 1B_464/2018 consid. 2.3 ; TF 2C_550/2015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