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9 vom 28. März 2019</w:t>
      </w:r>
    </w:p>
    <w:p>
      <w:r>
        <w:t>VD Tribunal cantonal, 2019-03-28, FR</w:t>
      </w:r>
    </w:p>
    <w:p>
      <w:r>
        <w:rPr>
          <w:b/>
        </w:rPr>
        <w:t xml:space="preserve">Quelle: </w:t>
      </w:r>
      <w:r>
        <w:t>https://mcp.opencaselaw.ch/entscheid/vd_findinfo_Plainte___2019___9</w:t>
      </w:r>
    </w:p>
    <w:p>
      <w:r>
        <w:t>FR: VD_FINDINFO Plainte / 2019 / 9 du 28 mars 2019</w:t>
      </w:r>
    </w:p>
    <w:p>
      <w:r>
        <w:t>IT: VD_FINDINFO Plainte / 2019 / 9 del 28 marzo 2019</w:t>
      </w:r>
    </w:p>
    <w:p>
      <w:pPr>
        <w:pStyle w:val="Heading2"/>
      </w:pPr>
      <w:r>
        <w:t>Regeste</w:t>
      </w:r>
    </w:p>
    <w:p>
      <w:r>
        <w:t>PLAINTE{LP}, PROCÉDURE DE REVENDICATION{SAISIE}, PROPRIÉTÉ COMMUNE, SOCIÉTÉ SIMPLE, PROMESSE DE DONNER, IMMEUBLE, PROCÈS-VERBAL DE SAISIE | 652 CC, 151 CO, 242 CO, 530 CO, 107 LP, 108 LP, 17 LP</w:t>
      </w:r>
    </w:p>
    <w:p>
      <w:pPr>
        <w:pStyle w:val="Heading2"/>
      </w:pPr>
      <w:r>
        <w:t>Erwägungen</w:t>
      </w:r>
    </w:p>
    <w:p>
      <w:r>
        <w:rPr>
          <w:b/>
        </w:rPr>
        <w:t>E. 1</w:t>
      </w:r>
    </w:p>
    <w:p>
      <w:r>
        <w:t>LP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 la pièce nouvelle produite à l’appui du recours (art. 28 al.</w:t>
      </w:r>
    </w:p>
    <w:p>
      <w:r>
        <w:rPr>
          <w:b/>
        </w:rPr>
        <w:t>E. 4</w:t>
      </w:r>
    </w:p>
    <w:p>
      <w:r>
        <w:t>LVLP). Les déterminations de l'Office et celles de l’intimée sont également recevables (art. 31 al. 1 LVLP). c) Le recourant requiert l’audition du notaire Q.________. aa) Selon l’art. 33 LVLP, les articles 20, 21, alinéa 1, 22, 23, 25, 26, alinéa 2 et 27 sont applicables par analogie à la procédure de recours. L’art. 23 al. 1 LVLP dispose que le président ordonne librement les mesures d'instruction qui lui paraissent nécessaires. Il peut notamment entendre des témoins et ordonner la production de pièces. Il dispose à cet effet des mêmes pouvoirs qu'en procédure civile contentieuse. Les règles prévues à l'article 20a, al. 2 LP sont réservées (al. 2). L’art. 32 al. 1 LVLP prévoit toutefois que la cour de céans statue à huis clos. bb) En l’espèce, le point de savoir si la règle de l’art. 32 al. 1 LVLP a pour conséquence que l’application par analogie de l’art. 23 al. 2 LVLP à la procédure de recours ne s’étend pas à l’audition de témoins peut demeurer ici indécise. En effet, le recourant requiert l’audition du notaire Q.________ pour prouver son allégation selon laquelle les parties n’avaient pas l’intention de soumettre la donation du 13 février 2013 à une condition suspensive en prévoyant au chiffre 8 de cette convention que le transfert de propriété de l’immeuble en cause aurait lieu le jour du dépôt de la convention au registre foncier. Or, comme on le verra, ce point n’est pas déterminant pour le sort du litige. La requête d’audition doit en conséquence être rejetée dans la mesure où elle est recevable. II. Le recourant conteste l'application de l'art. 107 LP dans le cas d'espèce. Il soutient que le premier juge devait appliquer l'art. 108 LP comme l’avait initialement fait l’Office. a) Selon la jurisprudence, le but de la procédure en revendication des art. 106 à 109 LP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(ATF 144 III 198 consid. 5.1.1 et références ; TF 5A_728/2009 du 25 mars 2010 consid. 3 in initio; TF 5C.169/2001 du 19 novembre 2001 consid. 6a/aa) Dans l'exécution forcée spéciale, la procédure de revendication comporte deux phases. La première est de nature administrative; elle permet aux intéressés d'annoncer leurs prétentions et à l'office des poursuites de fixer la position procédurale des parties. L'office doit impartir un délai de vingt jours ou bien au tiers pour ouvrir action en constatation de son droit (art. 107 LP) ou bien au créancier/débiteur pour ouvrir action en contestation de la prétention du tiers (art. 108 LP), selon la personne qui est en possession - au sens d'une détention de fait (ATF 144 III 198 consid. 5.1.2.1 ; TF 5A_35/2014 du 13 février 2014 consid. 3.3 ; TF; 7B.105/2006 du 13 octobre 2006 consid. 2) - de l'objet. La seconde est de nature judiciaire; elle permet au juge de trancher le conflit au fond (ATF 144 III 198 précité et référence). La première phase débute donc par la déclaration de revendication du tiers. Une déclaration valable est une condition nécessaire mais suffisante pour que l'office ouvre la procédure de revendication; il peut y être contraint au moyen d'une plainte (art. 17 al. 1 LP; ATF 144 III 198 consid. 5.1.2.2 ; ATF 136 III 437 consid. 4.2). L'office s'en tient en principe aux déclarations du tiers revendiquant et n'a pas à vérifier le bien-fondé de la revendication (ATF 144 III 198 précité ; ATF 132 III 281 consid. 2.2; TF 5A_697/2008 du 6 mai 2009 consid. 3.2). Il doit uniquement trancher la question de savoir qui peut disposer matériellement de la chose, sans avoir à se demander si l'état de fait est ou non conforme au droit (ATF 144 III 198 précité ; ATF 123 III 367 consid. 3b; ATF 120 III 83 consid. 3b; TF 5A_588/2007 du 26 février 2008 consid. 2.2). Lorsque le bien revendiqué est un bien mobilier, le critère déterminant est la détention, celui qui ne l’a pas devant ouvrir action. Lorsque le bien revendiqué est un bien immobilier au sens de l’art. 655 CC (Gilliéron, Commentaire de la loi fédérale sur la poursuite pour dettes et la faillite, n. 32 ad art. 107 LP et n. 39 ad art. 108 LP ; Rohner, in Hunkeler (éd.) SchKG Kurzkommentar, n. 14 ad art. 108 LP), le critère déterminant est l’inscription dans le registre foncier, celui qui n’est pas inscrit devant ouvrir action. Lorsque le bien revendiqué est une créance ou un autre droit, tels les droits découlant de la société simple (Rohner, op. cit., n. 9 ad art. 108 LP), le critère déterminant est la vraisemblance de la titularité de cette créance ou de cet autre droit, celui dont le droit est le moins vraisemblable devant ouvrir action (art. 107 et 108 LP ; Tschumy, Commentaire, op. cit., n. 5 ad art. 107 LP). b) La propriété commune de l’art. 652 CC – qui dispose que lorsque plusieurs personnes formant une communauté en vertu de la loi ou d’un contrat sont propriétaires d’une chose, le droit de chacun s’étend à la chose entière – est indivisible en ce sens qu’elle appartient à l’ensemble des communistes, chacun d’entre eux ayant la position d’un propriétaire unique et un droit égal sur la chose. Dans la propriété commune, plusieurs ont un droit de propriété sur la chose entière en étant limités dans leurs droits par les droits concurrents des autres communistes (Tschumy, La revendication de droits de nature à soustraire un bien à l’exécution forcée [ci-après : La revendication], thèse Lausanne 1987, n° 229, p. 134 et références). La qualité de membre de la communauté n’est pas un droit patrimonial et ne peut donc faire l’objet de mesures d’exécution forcée. De même, les créanciers d’un propriétaire commun ne peuvent exiger la mise sous main de justice directe du bien commun. Dès lors, la mise sous main de justice est impossible, faute d’un objet de l’exécution forcée déterminable. En conséquence, le seul droit patrimonial saisissable dont le propriétaire commun est titulaire est sa part de communauté, plus précisément son droit à une part du bénéfice net de la liquidation (Tschumy, La revendication, op. cit., n° 231, p. 135 et références). c)aa) En l’espèce, le recourant et E.________ sont devenus propriétaires en commun sous la forme d’une société simple de la parcelle n° [...] de la Commune de [...] par acte de vente notarié du 25 août 2011. Ils ont été inscrits au registre foncier en cette qualité. Par acte notarié de donation du 13 février 2013, E.________ a fait donation au recourant de sa part indivise d’une demie de la parcelle n° [...] susmentionnée. Les parties ont précisé qu’après cette donation, le recourant serait le seul propriétaire de la parcelle. L’acte précise que la donation est faite et acceptée notamment à la condition que la parcelle soit rendue libre, par les soins et aux frais de la donatrice et par réquisition séparée, de la mention n° [...], (ch. 5), savoir, selon l’extrait du registre foncier, la restriction du droit d’aliéner LPP concernant E.________ en faveur de Caisse L.________. Le chiffre 8 desdites conditions prévoit que le transfert de propriété aura lieu le jour du dépôt de la copie de l’acte au registre foncier et que l’entrée en jouissance avec transfert des produits et des risques a lieu immédiatement. Le 19 mars 2013, le notaire Q.________ a informé E.________ que Caisse L.________ refusait de ne pas demander le remboursement en cas de donation et qu’il y avait dès lors lieu d’obtenir un prêt supplémentaire ou d’annuler l’acte de donation et l’a invitée à répondre dans les plus brefs délais. Par convention de mesures protectrices de l’union conjugale du 11 avril 2016, le recourant et E.________ sont convenus de vivre séparés pour une durée indéterminée, étant précisé que la vie commune avait pris fin le 9 mars 2016 et que la jouissance du domicile conjugal était attribuée au recourant, à charge pour lui de s’acquitter des intérêts hypothécaires, de l’amortissement et des charges. L’adresse du recourant est celle de la parcelle n° [...] susmentionnée. A la date du 26 septembre 2018, le recourant et E.________ étaient toujours inscrits au registre foncier comme propriétaires en commun en société simple de cette parcelle. La restriction du droit d’aliéner LPP visant E.________ en faveur de Caisse L.________ était toujours inscrite. bb) Dans la mesure où le recourant revendique la propriété de la parcelle en cause sur la base de l’acte de donation du 13 février 2013, revendication d’un bien immobilier, le critère déterminant pour l’application de l’art. 107 LP ou de l’art. 108 LP est, comme on l’a vu, l’inscription au registre foncier. E.________ y étant toujours inscrite comme propriétaire en main commune, C’est au recourant d’ouvrir action en constatation de son droit en application de l’art. 107 LP. cc) On arrive au même résultat si l’on considère que le recourant revendique, sur la base de l’acte de donation du 13 février 2013, la part de communauté de E.________ dans la société simple qu’il forme avec elle et qui a été saisie. Contrairement à ce qu’a retenu l’Office dans l’avis de saisie du 7 août 2018, cette part de communauté, plus précisément ce droit à une part du bénéfice net de la liquidation, ne constitue pas un bien meuble au sens des art. 107 al.1 ch. 1 et 108 al. 1 ch. 1 LP pour lequel le critère de la détention s’applique, mais un autre droit au sens des art. 107 al. 1 ch. 2 et 108 al. 1 ch. 2 LP, pour lequel le critère déterminant est la vraisemblance de la titularité de ce droit, comme l’a retenu le premier juge. Celui-ci a considéré qu’en application de l’art. 242 al. 2 CO la donation en cause n’était pas parfaite, faute d’inscription au registre foncier et que, par surabondance, elle n’avait pas produit d’effets, la condition suspensive mentionnée au chiffre 8 de l’acte, selon laquelle le transfert de propriété aurait lieu le jour du dépôt d’une copie de l’acte au registre foncier, n’ayant pas été remplie. Le recourant conteste que le chiffre 8 de l’acte de donation constitue une condition suspensive au sens de l’art. 151 al. 1 CO. Aux termes de cette disposition, le contrat est conditionnel lorsque l’existence de l’obligation qui en forme l’objet est subordonnée à l’arrivée d’un événement incertain. Selon l’art. 972 al. 1 CC, les droits réels immobiliers naissent par l’inscription dans le grand livre du registre foncier. La donation d’immeubles ou de droits réels immobiliers n’est donc parfaite, c’est-à-dire effective, que par son inscription au registre foncier (art. 242 al. 2 CO). L’art. 242 al. 3 CO précise que l’inscription ne peut avoir lieu qu’en vertu d’une promesse de donner valablement faite, cette promesse de donner devant, selon l’art. 243 al. 2 CO, être faite par acte authentique pour les immeubles et les droits réels immobiliers. Dès que la promesse est exécutée, elle est assimilée à une donation manuelle (art. 243 al. 3 CO). L’acte de donation du 13 février 2013 ne précise pas que E.________ ne donne au recourant que si le transfert de sa part est inscrit au registre foncier ou si l’acte de donation est déposé au registre foncier. Le chiffre 8 de l’acte ne constitue donc pas une condition suspensive au sens de l’art. 151 al. 1 CO, mais uniquement un rappel aux parties à l’acte du fait que le transfert de la propriété immobilière est soumis à la formalité prévue à l’art. 242 al. 2 CO, que l’acte est donc une promesse de donner au sens de l’art. 243 CO et que le transfert de propriété n’a donc pas lieu au moment de la signature de l’acte mais est différé. En revanche, le chiffre 5 de l’acte de donation du 13 février 2013, selon lequel la parcelle sera rendue libre de la mention d’une restriction du droit d’aliéner en faveur de Caisse L.________ n° [...], par les soins, aux frais de la donatrice et par réquisition séparée, constitue une condition suspensive au sens de l’art. 151 al. 1 CO. En effet, cette mention a trait à l’interdiction faite par l’art. 30e LPP (loi fédérale du 25 juin 1982 sur la prévoyance professionnelle vieillesse, survivants et invalidité ; RS831.40) à l’assuré, sous réserve de remboursement, de vendre en propriété - ou de céder des droits de manière équivalente économiquement à une aliénation - un immeuble ayant fait l’objet d’un versement anticipé de l’institution de prévoyance pour son acquisition. Il résulte du courrier du notaire Q.________ du 19 mars 2013 que Caisse L.________ a refusé de ne pas demander le remboursement en cas de donation et qu’il y avait lieu soit d’obtenir un prêt supplémentaire, soit d’annuler l’acte de donation. Les effets de celui-ci demeuraient donc suspendus en vertu de son chiffre 5 tant que la restriction d’aliéner en cause n’avait pas été radiée ensuite du remboursement du versement anticipé de l’institution de prévoyance de E.________, remboursement qui n’est pas intervenu. Le recourant ne rend donc pas plus vraisemblable un droit préférable tiré de l’acte de donation du 13 février 2013. Le recourant fait à cet égard valoir que, par leur signature, les parties à cet acte de donation auraient mis fin à la société simple formée pour la propriété en main commune de l’immeuble en cause et ainsi transformé son but en celui de sa liquidation consistant en l’exécution de la dette de donation. Il en déduit que la part de liquidation de E.________ serait sans valeur, n’étant composée que d’une dette ensuite de la donation de sa part de l’immeuble, partant non saisissable et que, si elle était saisissable, il aurait « un droit de disposer de l’actif de la société simple (…) mieux fondé que celui de son épouse » qui ne disposait que d’« un actif négatif, soit une dette dans sa part de liquidation ». Il est vrai que la manifestation de volonté de dissolution par volonté unanime au sens de l’art. 545 al. 1 ch. 4 CO de la société simple portant sur la propriété commune d’un immeuble peut être tacite (Chaix, in Tercier/Amstutz/Trigo Trindade (éd.), Commentaire romand, CO II, 2 e éd., n. 16 ad art. 545-547 CO et références). Cette dissolution n’affecte pas l’existence de la société, qui continue d’exister en tant que société en liquidation, mais lui donne un nouveau but qui est sa liquidation (TF 4A_443/2009 du 17 décembre 2009 consid. 3.2 ; Meier-Hayoz/Fortmoser, Droit suisse des sociétés, édition française avec traduction de Iordanov, n. 82, p. 409). En revanche, cette liquidation ne pourrait consister dans l’exécution de la dette de donation comme le soutient le recourant. En effet, la liquidation a pour objet de mettre fin aux rapports juridiques noués par la société (ATF 119 II 119, JdT 1995 I 110) et consiste dans le paiement des dettes sociales, le remboursement des dépenses et avances faites par chacun des associés, la restitution des apports et, en cas d’excédent ou de perte, la répartition de celui-ci entre les associés (art. 549 CO), étant précisé que la restitution d’un apport en propriété ne peut être effectué en nature (art. 548 al. 1 CO). Or, aucune de ces démarches n’a été entreprise. Certes, la doctrine admet une dissolution sans liquidation par une reprise des actifs et passifs au sens de l’art. 181 CO ou selon les règles applicables à la sortie d’un associé (Chaix, op. cit., nn. 21 et 23 ad art. 548-550 CO et références). Toutefois, l’acte de donation du 13 février 2013 ne règle pas un tel transfert ou une telle sortie du recourant, mais prévoit la donation par E.________ de sa part indivise de la parcelle en cause, donation suspendue par la condition figurant au chiffre 5 de l’acte. Si l’on admet que la société simple a été dissoute tacitement par celui-ci, sa liquidation, qui ne serait pas encore intervenue, ne saurait rendre plus vraisemblable un droit préférable du recourant à la part indivise de E.________ sur la parcelle en cause. Le moyen du recourant doit être rejeté. d) Ces considérations ne valent que pour la série 2, la Ville de T.________ n’ayant pas formé plainte contre l’avis du 14 juin 2018 de l’Office dans la série 1.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