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 vom 11. März 2019</w:t>
      </w:r>
    </w:p>
    <w:p>
      <w:r>
        <w:t>VD Tribunal cantonal, 2019-03-11, FR</w:t>
      </w:r>
    </w:p>
    <w:p>
      <w:r>
        <w:rPr>
          <w:b/>
        </w:rPr>
        <w:t xml:space="preserve">Quelle: </w:t>
      </w:r>
      <w:r>
        <w:t>https://mcp.opencaselaw.ch/entscheid/vd_findinfo_Plainte___2019___5</w:t>
      </w:r>
    </w:p>
    <w:p>
      <w:r>
        <w:t>FR: VD_FINDINFO Plainte / 2019 / 5 du 11 mars 2019</w:t>
      </w:r>
    </w:p>
    <w:p>
      <w:r>
        <w:t>IT: VD_FINDINFO Plainte / 2019 / 5 del 11 marzo 2019</w:t>
      </w:r>
    </w:p>
    <w:p>
      <w:pPr>
        <w:pStyle w:val="Heading2"/>
      </w:pPr>
      <w:r>
        <w:t>Regeste</w:t>
      </w:r>
    </w:p>
    <w:p>
      <w:r>
        <w:t>PLAINTE{LP}, ABUS DE DROIT, COMMANDEMENT DE PAYER, RÉPÉTITION{ACTIVITÉ} | 2 al. 2 CC, 17 LP</w:t>
      </w:r>
    </w:p>
    <w:p>
      <w:pPr>
        <w:pStyle w:val="Heading2"/>
      </w:pPr>
      <w:r>
        <w:t>Erwägungen</w:t>
      </w:r>
    </w:p>
    <w:p>
      <w:r>
        <w:rPr>
          <w:b/>
        </w:rPr>
        <w:t>E. 6</w:t>
      </w:r>
    </w:p>
    <w:p>
      <w:r>
        <w:t>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142 III 48 consid. 4; ATF 138 I 154 consid. 2.3.3). En l’espèce, l’avis du greffe de la cour de céans du 10 octobre 2018 était destiné à l’intimé F.________, ainsi qu’à l’office, mais pas à la recourante. L’écriture du 25 octobre 2018 ne saurait en outre être considérée comme une réplique spontanée dès lors que les déterminations de l’office du</w:t>
      </w:r>
    </w:p>
    <w:p>
      <w:r>
        <w:rPr>
          <w:b/>
        </w:rPr>
        <w:t>E. 11</w:t>
      </w:r>
    </w:p>
    <w:p>
      <w:r>
        <w:t>octobre 2018 n’avait à ce moment-là pas encore été communiquées à la recourante. L'écriture de la recourante du 25 octobre 2018 ne visait donc, comme son intitulé l’indique (« motivation du recours »), qu’à compléter l’acte de recours du 3 octobre 2018. Déposée après l’échéance du délai de l’art. 18 al. 1 LP, elle est par conséquent irrecevable. Il en va de même des pièces nouvelles qui l’accom-pagnaient (CPF, 27 novembre 2015/37). II. La recourante relève que la plainte déposée par F.________ n’était dirigée que contre l’Office des poursuites du district de Lavaux-Oron. Elle fait valoir que les principaux «griefs de la décision» concernent [...], qui n’a pas été cité comme partie et n’a donc pas pu défendre ses intérêts. Elle se plaint en outre de ne pas avoir été elle-même considérée comme partie, ni citée à ce titre, ce qui l'a empêchée de faire valoir ses arguments dans la procédure de plainte. Ce faisant, la recourante soulève le grief de la violation du droit d’être entendu. a) Aux termes de l'art. 17 al. 1 LP, sauf dans les cas où la loi prescrit la voie judiciaire, il peut être porté plainte à l'autorité de surveillance lorsqu'une mesure de l'office est contraire à la loi ou ne paraît pas justifiée en fait. La procédure de plainte LP est réglée pour l'essentiel par le droit cantonal (art. 20a al. 3 LP). Dans le canton de Vaud, l'art. 18 al. 1 LVLP stipule que la plainte est adressée par écrit au président de tribunal dont relève l’office. Elle est signée par le plaignant ou son mandataire. L’art. 21 al. 2 LVLP dispose que le président appointe une audience à laquelle il convoque les parties ou leurs mandataires par lettre recommandée et le préposé par lettre ordinaire. Selon l'art. 21 al. 4 LVLP, le greffier expédie les doubles de la plainte au préposé et aux parties intimées, en les avisant des décisions qui les concernent. L’art. 24 al. 2 LVLP prévoit que la ou les parties intimées peuvent se déterminer sur la plainte verbalement à l’audience ou produire une détermination écrite en deux exemplaires. Selon l'art. 26 al. 2 LVLP, le président statue à bref délai nonobstant l'absence des parties. De manière générale, la qualité pour défendre appartient à toute personne dont les droits et obligations pourraient être touchés par la décision à prendre (Gilliéron, Commentaire de la loi fédérale sur la poursuite pour dettes et la faillite, n. 117 ad art. 17 LP). La qualité pour défendre à la plainte appartient ainsi en premier lieu aux organes de la poursuite qui ont pris la mesure ou la décision susceptible de plainte (Gilliéron, Poursuite pour dettes, faillite et concordat, 5 ème éd., Bâle 2012, n. 263). Le même auteur relève toutefois que, dans la procédure de plainte, l’autorité de surveillance doit considérer comme "partie adverse" toute personne directement concernée par la décision ou mesure attaquée et l’inviter à se déterminer sur la plainte ou le recours (Gilliéron, Commentaire de la loi fédérale sur la poursuite pour dettes et la faillite, n. 125 ad art. 17 LP). D'autres auteurs précisent que les « autres participants à la procédure », tels que le(s) créancier(s), respective-ment le débiteur, un co-poursuivi, un tiers intéressé, s'ils ne sont pas des parties au sens strict de la procédure civile, le sont dans un sens élargi. Leur droit d'être entendu doit ainsi être respecté (Cometta/Möckli, in Staehelin/Bauer/Staehelin (éd.), Basler Kommentar, SchKG I, 2 ème éd., 2010, n. 48 ad art. 17 LP; Fritsche/Walder, Schuldbetreibung und Konkurs nach schweizerischen Recht, t. I, § 8 n. 17; Maier/Vagnato, in Kren Kostkiewicz/Vock (éd.), SK Kommentar zum SchKG, 2017, n. 11 ad art. 17 LP; cf. aussi TF 5A_900/2014 du 29 mai 2015, consid. 3.1; CPF, 22 juillet 2015/28; CPF, 6 mai 2014/22). Le droit d'être entendu est une garantie constitutionnelle de caractère formel, dont la violation doit entraîner l'annulation de la décision, indépendamment des chances de succès du recours sur le fond (ATF 135 I 187 consid. 2.2; TF 5A_741/2016 du 6 décembre 2016 consid. 3.1.2 ; TF 4A_453/2016 du 16 février 2017 consid. 4.2.2, RSPC 2017 p. 313).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142 II 218; ATF 137 I 195; Sutter-Somm/Chevalier, in Sutter-Somm/Hasenböhler/Leuenberger (éd.), Kommentar zur Schweizerischen Zivilprozessordnung., 2016, n. 27 ad 53 CPC et les références citées; Gehri in Spühler/Tenchio/Infanger (éd.), Basler Kommentar Schweizerische Zivilprozess-ordnung, 2013, n. 34 ad. 53 CPC et les réf. cit.).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136 V 117 consid. 4.2.2.2; TF 5A_925/2015 du 4 mars 2016 consid. 2.3.3.2, non publié à l’ATF 142 III 195; TF 4A_283/2013 du 20 août 2013 consid. 3.3, RSPC 2014 p. 5; TF 4A_35/2015 du 12 juin 2015 consid. 2.3; TF 5A_897/2015 du 1er février 2016 consid. 3.2.2; TF 5D_8/2016 du 3 juin 2016 consid. 2.3). Il faut toutefois garder à l’esprit que la guérison d’une violation du droit d’être entendu devant l’instance de recours doit rester l’exception et n’est possible que si la violation porte sur un point qui n’est pas décisif (ATF 126 V 130; ATF 124 V 389; CPF 28 juin 2018/80; CPF, 29 mars 2012/10). Seul celui concerné par la violation de son propre droit d'être entendu peut s'en prévaloir (TF 1C_320/2011 du 30 mai 2012 consid. 4.3.1 ; TF 5A_306/2016 du 7 juillet 2016 cconsid. 3.1). b) En l’espèce, l’intimé a déposé une plainte LP contre le commande-ment de payer qui lui a été notifié par l'office le 26 juin 2018 à l’instance de la recourante. Quand bien même la plainte faisait référence à de précédentes poursuites engagées contre l’intimé par [...], administrateur de la recourante, on ne voit pas en quoi la nullité du commandement de payer notifié à la demande de cette dernière pouvait être de nature à porter une atteinte directe aux intérêts personnels de [...]. C’est donc à juste titre que l’autorité de première instance n’a pas considéré ce dernier comme une partie défenderesse à la plainte. On relèvera en outre que même si on avait dû considérer que [...] pouvait être directement concerné par le sort de la plainte, la recourante n’aurait de toute manière pas été légitimée à se plaindre d’une violation du droit de celui-ci d’être entendu. Il est en revanche vrai qu’en sa qualité de créancière poursuivante, la recourante devait être considérée comme une partie intimée par le premier juge. À ce titre, elle aurait notamment dû recevoir une copie de la plainte et être citée à comparaître, par courrier recommandé, à l’audience qui s’est tenue le 21 août 2018. Or, il ressort du dossier que seules les déterminations déposées le 17 août 2018 par l’office ont été communiquées à la recourante et que la plainte n’a été transmise qu’à l’office. La recourante n’a en outre pas été citée à comparaître à l’audience par courrier recommandé mais uniquement « informée» qu’une audience était fixée pour « statuer sur la plainte formée par F.________ contre l’Office des poursuites du district de Lavaux Oron ». Force est ainsi de constater que les dispositions de la LVLP n’ont pas été respectées et que le droit d’être entendu de la recourante a été violé. Dans une affaire similaire où un créancier avait été tenu à l’écart de la procédure de plainte, la cour de céans a considéré qu’au vu de son pouvoir d’examen complet en fait et en droit, un tel vice pouvait être réparé en deuxième instance (CPF, 22 juillet 2015/289). En l'espèce, par courrier recommandé du 13 décembre 2018, la Présidente de la cour de céans a informé la recourante que l'autorité inférieure de surveillance ne lui ayant pas notifié la plainte déposée par F.________ le 6 juillet 2018 et les onglets de pièces produites par lui les 6 juillet et 21 août 2018, la cour de céans y remédiait en lui impartissant un délai au 28 décembre 2018 pour se déterminer sur cette écriture et pour indiquer si elle sollicitait la tenue d'une audience. Dans le délai prolongé à sa demande, la recourante a déposé des déterminations et produit des pièces sans requérir la tenue d'une audience. Elle a ainsi pu faire valoir ses arguments, de sorte que la violation de son droit d'être entendue a pu être réparé; il n'y a dès lors pas lieu d'annuler la décision entreprise. III. Sur le fond, la recourante reproche en substance au premier juge d’avoir méconnu le fait qu’elle était une personne juridique distincte de [...]; elle fait par ailleurs valoir que les deux poursuites engagées en 2016 et 2017 visaient à interrompre le délai de prescription; elle soutient enfin que la poursuite qu’elle a elle-même introduite vise uniquement à recouvrer la créance qui lui a désormais été cédée par [...]. a)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ATF 117 III 39, JdT 1994 II 12). A teneur de l’art. 2 al. 2 CC (Code civil du 10 décembre 1907 ; RS 210), l'abus manifeste d'un droit n'est pas protégé par la loi. La règle prohibant l'abus de droit permet au juge de corriger les effets de la loi dans certains cas où l'exercice d'un droit allégué créerait une injustice manifeste (ATF 135 III 162 consid. 3.3.1; 134 III 52 consid. 2.1 et les réf. cit.). L'existence d'un abus de droit se détermine selon les circonstances concrètes du cas, en s'inspirant des diverses catégories mises en évidence par la jurisprudence et la doctrine (ATF 135 III 162 consid. 3.3.1 précité;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129 III 493 consid. 5.1 précité; 127 III 357 consid. 4c/bb).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consid. 2.3.1; JdT 2015 II 294)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 76). Dans ce dernier arrêt, le Tribunal fédéral a ainsi relevé que le procédé consistant à notifier quatre commandements de payer en 15 mois, fondés sur la même cause et pour une somme totale de 775’000 fr., sans jamais demander la mainlevée de l’opposition ni la reconnaissance judiciaire de la créance, pouvait constituer un abus de droit manifeste;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du 11 août 2005); a également été jugé abusive la poursuite intentée par une personne invoquant comme cause de l'obligation une "complicité de vol", alors que sa plainte pénale avait été définitivement classée quatre ans auparavant (TF 5A_250/2007 du 19 septembre 2007). Selon le Tribunal fédéral, une poursuite peut également être abusive lorsqu’elle consacre une attitude contradictoire (venire contra factum proprium) : notre Haute Cour a ainsi jugé qu’une réquisition de poursuite, déposée trois jours avant des pourparlers transactionnels que le poursuivant avait lui-même initiés et qui avaient pour objet le retrait d’une précédente poursuite, était abusive (ATF 140 III 481 consid. 2.3.2 et 3; JdT 2015 II 294).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TF 5A_76/2013 du 15 mars 2013, consid. 3.1; TF 5A_250-252/2015 du 10 septembre 2015 consid. 4; TF 5A_768/2014 du 2 novembre 2015 consid. 4.3.2). b) En l’espèce, le commandement de payer en cause (n° 8'785'838) a été notifié à l’intimé le 26 juin 2018 à l’instance de la recourante, soit la société U.________. Cette société est administrée par les époux [...] et [...], respectivement administrateur secrétaire délégué et administratrice présidente, tous deux au bénéfice de la signature individuelle. Le commandement de payer mentionne, sous la rubrique titre et date de la créance ou cause de l’obligation, les créances en capital et intérêts découlant d’un contrat de prêt du 1 er juin 2006 avec [...] pour un montant total de 50’900 fr. plus intérêts, d’une part, ainsi que les créances en capital et intérêts résultant de prêts consentis par [...] les 2 novembre et 11 décembre 2007 et les 15 janvier et 13 mars 2008 pour un montant total de 20’000 fr. plus intérêts, d’autre part. Le commandement de payer indique également que ces créances ont été « reprises » par U.________, soit la recourante. Il résulte du dossier que les créances « reprises » ont déjà fait l’objet de précédentes poursuites qui ont toutes été engagées contre l’intimé F.________ à l’initiative de l’un des administrateurs de la recourante, soit [...]. Un commandement de payer tendant au versement des prétendues créances découlant des contrats de prêt de la société [...] a ainsi été notifié à l’intimé  le 2 septembre 2011 dans le cadre d’une poursuite n° 5'775'112. Par prononcé du</w:t>
      </w:r>
    </w:p>
    <w:p>
      <w:r>
        <w:rPr>
          <w:b/>
        </w:rPr>
        <w:t>E. 16</w:t>
      </w:r>
    </w:p>
    <w:p>
      <w:r>
        <w:t>février 2012, le juge de paix du district de Lavaux-Oron a toutefois refusé de lever l’opposition formée par l’intimé en indiquant expressément que si la partie poursuivante entendait faire valoir sa créance, il lui appartiendrait d’en établir l’existence dans le cadre d’une action au fond. Les prétendues créances découlant du contrat de prêt du 1 er juin 2006 ont quant à elles fait l’objet d’un premier commandement de payer dans une poursuite n° 5'240'239 qui a été notifié à l’intimé le 20 janvier 2010. La mainlevée de l’opposition formée par l’intimé a été refusée par prononcé rendu le 27 avril 2010 par le Juge de paix du district de Lavaux-Oron au motif que le poursuivant n’avait pas établi être titulaire de la créance dont il se prévalait au moment de l’introduction la poursuite. Un deuxième commandement de payer dans une poursuite n° 5'390'317 portant sur les mêmes créances a été notifié à l’intimé le 30 août 2010. Par arrêt du 27 janvier 2012, la Cour des poursuites et faillites a maintenu l’opposition formée par l’intimé à la poursuite n° 5'240'239 en relevant notamment et en substance que la prétention en cause devait nécessaire-ment être englobée dans les opérations de liquidation de la société simple que formait le poursuivi et le poursuivant et qu’à défaut d’une liquidation globale de cette société, [...] ne pouvait pas exiger le paiement de sa prétention par voie d’exécution forcée. Ce nonobstant, [...] a tout d’abord obtenu que par prononcé du 3 mai 2012, le tribunal précisément saisi d’une demande de dissolution et de liquidation déposée le 31 août 2010 par l’intimé se déclare incompétent en raison d’une clause compromissoire contenue dans le contrat d’association qui liait les parties. Il n’a par ailleurs pas donné suite aux propositions qui lui ont ensuite été adressées par l’intimé les 2 juillet 2012, 15 janvier 2013 et 12 août 2016 en vue de désigner conjointement un arbitre, respectivement mandater une fiduciaire pour qu’elle procède aux opérations de dissolution et liquidation nécessaires. Il a en revanche fait notifier à l’intimé deux nouveaux commandements de payer, portant sur les mêmes créances, les 26 mai 2016 (poursuite n° 7'893'097) et 26 mai 2017 (poursuite n° 8'304'980) sans pour autant obtenir ni même chercher à obtenir la mainlevée des oppositions formées par l’intimé à ces commandements de payer. C’est donc en définitive l’intimé qui, le 9 novembre 2017, s’est résolu à ouvrir une procédure en constatation négative de droit et en annulation des poursuites n° 7'893'097 et n° 8'304'980 laquelle est actuellement pendante devant le Tribunal d’arrondissement de l’Est vaudois. Il ressort de ce qui précède que la poursuite n° 8'785'838 objet de la présente plainte porte sur des créances qui ont déjà fait l’objet de plusieurs poursuites engagées contre l’intimé à l'initiative de [...], que F.________ y a systématiquement fait opposition, qu’aucune des requêtes de mainlevée déposées par [...] n’a abouti, qu’il lui a en outre été signifié qu’il ne pourrait obtenir le paiement des créances invoquées par voie d’exécution forcée qu’une fois que celles-ci auraient été établies dans le cadre d’une procédure au fond, qu’aucune démarche n’a été entreprise en ce sens, que [...] a même refusé de collaborer à la mise en œuvre de l’arbitrage nécessaire à établir une partie des montants qu’il réclame et qu’il est en outre actuellement partie à une procédure qui tend à faire constater que cette créance n’existe tout simplement pas. On peut naturellement imputer la connaissance de ces différents événements à la recourante dans la mesure où ils sont le fait de l’un de ses administrateurs; c'est donc en vain que la recourante cherche à se prévaloir de son indépendance juridique par rapport à [...]. En d’autres termes, la recourante a introduit une poursuite contre l’intimé tout en sachant pertinemment que les prétentions invoquées ne pouvaient pas être recouvrées par la voie de l’exécution forcée. Elle ne rend par ailleurs nullement vraisemblable qu'un commandement de payer aurait été utile pour interrompre la prescription. Elle se prévaut d'une cession, dont le délai de prescription est de dix ans (art. 127 CO [Code des obligations du 30 mars 1911; RS 220]) et dont le cours a été interrompu par de précédentes poursuites , la dernière en 2017, qui ont fait courir un nouveau délai de dix ans (art. 137 al. 1 CO; ATF 141 V 487 consid. 2.3). Au demeurant, la recourante a refusé une proposition de l'intimé de signer une déclaration de renonciation à se prévaloir de la prescription. On peut conclure de ce qui précède que la recourante a uniquement agi dans le but de nuire à la réputation de l’intimé ou par pur esprit de chicane. Ce faisant, la recourante s’est comportée de manière abusive. C’est donc à juste titre que le premier juge a constaté la nullité de la poursuite en cause. IV. En conclusion de ce qui précède, le recours doit être rejeté et le prononcé de l’autorité inférieure de surveillance confirmé. Le présent arrêt est rendu sans frais ni dépens (art. 20a al. 2 ch. 5 LP ;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