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7 vom 13. Januar 2015</w:t>
      </w:r>
    </w:p>
    <w:p>
      <w:r>
        <w:t>VD Tribunal cantonal, 2015-01-13, FR</w:t>
      </w:r>
    </w:p>
    <w:p>
      <w:r>
        <w:rPr>
          <w:b/>
        </w:rPr>
        <w:t xml:space="preserve">Quelle: </w:t>
      </w:r>
      <w:r>
        <w:t>https://mcp.opencaselaw.ch/entscheid/vd_findinfo_Plainte___2015___7</w:t>
      </w:r>
    </w:p>
    <w:p>
      <w:r>
        <w:t>FR: VD_FINDINFO Plainte / 2015 / 7 du 13 janvier 2015</w:t>
      </w:r>
    </w:p>
    <w:p>
      <w:r>
        <w:t>IT: VD_FINDINFO Plainte / 2015 / 7 del 13 gennaio 2015</w:t>
      </w:r>
    </w:p>
    <w:p>
      <w:pPr>
        <w:pStyle w:val="Heading2"/>
      </w:pPr>
      <w:r>
        <w:t>Regeste</w:t>
      </w:r>
    </w:p>
    <w:p>
      <w:r>
        <w:t>PLAINTE{LP}, INTÉRÊT JURIDIQUE{PROCÉDURE CIVILE} | 17 LP</w:t>
      </w:r>
    </w:p>
    <w:p>
      <w:pPr>
        <w:pStyle w:val="Heading2"/>
      </w:pPr>
      <w:r>
        <w:t>Erwägungen</w:t>
      </w:r>
    </w:p>
    <w:p>
      <w:r>
        <w:rPr>
          <w:b/>
        </w:rPr>
        <w:t>E. 22</w:t>
      </w:r>
    </w:p>
    <w:p>
      <w:r>
        <w:t>ad art. 17 LP; Cometta, Basler Kommentar, n. 37 ad art. 17 LP), qu’a qualité pour déposer plainte toute personne directement intéressée à l'issue de la procédure d'exécution forcée au cours de laquelle est intervenue la décision ou la mesure attaquée (Gilliéron, op. cit., nn. 144 et 154 ad art. 17 LP), que la qualité pour recourir ou déposer plainte selon les art. 17 ss LP est subordonnée à l'existence d'une lésion ou d'une menace des intérêts juridique-ment protégés ou d'une atteinte grave aux intérêts personnels (ATF 120 III 42 c. 3, JT 1996 II 151), le plaignant devant justifier d'un intérêt actuel et concret (Gilliéron, op. cit., n. 155 ad art. 17 LP ; TF 7B.60/2005, c. 2.1 du 24 mai 2005), que l a fonction de l'autorité de surveillance n'est pas de faire de la doctrine, de dire le droit dans l’abstrait, qu’elle ne statuera que sur des plaintes (ou des recours) dont l'admission élimine véritablement un préjudice concret (Gilliéron, op. cit., n. 155 ad art. 17 LP et les arrêts cités), qu’en l’espèce, la plainte déposée par S.________ le 30 janvier 2013 est dirigée contre l’inscription, par l’office des poursuites, d’un pacte de réserve de propriété portant le n° 31317, à la réquisition de la société H.________, que la créancière ayant retiré sa requête, l’office des poursuites a radié l’inscription litigieuse du registre des pactes de propriété, ce dont le plaignant a été informé, que la procédure de plainte a ainsi perdu son objet, qu’ainsi, faute d’intérêt au recours, celui-ci doit être déclaré irrecevable ; considérant que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