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38 vom 10. November 2015</w:t>
      </w:r>
    </w:p>
    <w:p>
      <w:r>
        <w:t>VD Tribunal cantonal, 2015-11-10, FR</w:t>
      </w:r>
    </w:p>
    <w:p>
      <w:r>
        <w:rPr>
          <w:b/>
        </w:rPr>
        <w:t xml:space="preserve">Quelle: </w:t>
      </w:r>
      <w:r>
        <w:t>https://mcp.opencaselaw.ch/entscheid/vd_findinfo_Plainte___2015___38</w:t>
      </w:r>
    </w:p>
    <w:p>
      <w:r>
        <w:t>FR: VD_FINDINFO Plainte / 2015 / 38 du 10 novembre 2015</w:t>
      </w:r>
    </w:p>
    <w:p>
      <w:r>
        <w:t>IT: VD_FINDINFO Plainte / 2015 / 38 del 10 novembre 2015</w:t>
      </w:r>
    </w:p>
    <w:p>
      <w:pPr>
        <w:pStyle w:val="Heading2"/>
      </w:pPr>
      <w:r>
        <w:t>Regeste</w:t>
      </w:r>
    </w:p>
    <w:p>
      <w:r>
        <w:t>COMMANDEMENT DE PAYER, COMMUNICATION, NOTIFICATION ÉCRITE, CONJOINT, PLAINTE{LP} | 17 LP</w:t>
      </w:r>
    </w:p>
    <w:p>
      <w:pPr>
        <w:pStyle w:val="Heading2"/>
      </w:pPr>
      <w:r>
        <w:t>Erwägungen</w:t>
      </w:r>
    </w:p>
    <w:p>
      <w:r>
        <w:rPr>
          <w:b/>
        </w:rPr>
        <w:t>E. 18</w:t>
      </w:r>
    </w:p>
    <w:p>
      <w:r>
        <w:t>al. 1 LP (loi fédérale du 11 avril 1889 sur la poursuite pour dettes et la faillite; RS 281.1) et 28 al. 1 LVLP (loi du 18 mai 1955 d’application dans le canton de Vaud de la LP; RSV 280.05). Le recourant y indique les points sur lesquels la décision est contestée et il découle suffisamment des motifs invoqués qu’il demande une modification de la décision dans le sens des conclusions de sa plainte. L’acte de recours est donc conforme aux exigences de l’art. 28 al. 3 LVLP. Il est recevable. b) Dans la procédure de plainte, le recourant peut – dans le délai de recours – alléguer des faits nouveaux et produire de nouvelles pièces (art. 28 al. 4 LVLP).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c) En l’espèce, l’écriture du recourant du 28 octobre 2015 ne saurait être considérée comme une réplique, dès lors que les déterminations de l’office du 21 octobre 2015 sur le recours ne contiennent aucun élément nouveau. Il s’ensuit que, déposée après l’échéance du délai de recours et ne visant qu’à compléter l’acte de recours du 5 octobre 2015, l’écriture du 28 octobre 2015 est irrecevable. Il en va de même des pièces nouvelles l’accompagnant. II. a) Le recourant conteste la validité de la notification du commandement de payer qui lui était destiné. Il fait valoir que les documents remis à l’autorité par la Poste ne permettent pas de conclure à une notification régulière de l’acte par l’intermédiaire de son épouse. b)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Jeanneret/Lembo, Commentaire romand,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Lors de la notification du commandement de payer par la poste, le facteur qui notifie agit comme auxiliaire de la poursuite. Les actes du facteur sont imputés à l’office des poursuites (ATF 119 III 8, JdT 1985 II 81; Ruedin, in : Dallèves/ Foëx/Jeandin, Commentaire romand, Poursuite et faillite, 2005, n. 13 ad art. 72 LP; Wütrich/Schoch, in Staehelin/Bauer/Staehelin (éd.), Basler Kommentar, Bundes-gesetz über Schuldbetreibung und Konkurs I,  n. 8 ad art. 72 SchKG [LP]). Fondamentalement, l’acte de poursuite doit donc être remis personnellement au débiteur dont il faut s’assurer qu’il est, à tout le moins, placé en situation de pouvoir prendre connaissance de l’acte (Jeanneret/Lembo, op. cit., n. 18 ad art. 64 LP).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 e phrase LP). Une personne fait partie du ménage du débiteur lorsqu’elle forme avec lui une communauté domestique (TF 5A_777/2011 du 7 février 2012 précité, consid.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 le bailleur, respectivement le locataire d’une chambre – qui n'est pas pensionnaire –, le membre de la famille de passage pour quelques jours de vacances ou le conjoint séparé ne sont pas des personnes appartenant au ménage du débiteur (Jeanneret/ Lembo, op. cit., n. 24 ad art. 64 LP et les références citées, not. ATF 117 III 5, JT 1992 II 31). Selon la jurisprudence, en cas de notification viciée, l'acte de poursuite est nul et cette nullité doit être constatée d'office (ATF 120 III 117 c. 2c et réf. cit., JT 1997 II 54). En cas de contestation, c'est l'office qui supporte le fardeau de la preuve de la notification correcte des actes de poursuites. Conformément à l'art. 72 al. 2 LP, il incombe à celui qui procède à la notification d'attester le jour où elle a eu lieu et à qui l'acte a été remis. Cette attestation vaut titre officiel au sens de l'article 9 CC (cf. art. 8 al. 2 LP) et a donc pleine valeur de preuve pour son contenu, sous réserve de la preuve du contraire (ATF 120 III 117 précité c. 2). c) En l’espèce, le fonctionnaire postal [...] a attesté sur le commandement de payer litigieux (n° 7'385'428) de sa notification, le 12 mars 2015, par la remise à l’épouse du recourant. Le fait que le prénommé ait été encore en formation ou déjà en période d’essai à cette date n’est pas pertinent, dans la mesure où il résulte de son audition qu’il a procédé régulièrement à la notification de l’acte en mains de l’épouse. Sa seule omission, ainsi qu’il l’a lui-même admis, est de n’avoir pas mentionné sur l’acte, à côté du nom de B.G.________, sa qualité d’épouse du recourant. Cette qualité n’est toutefois pas contestée et l’omission n’affecte en rien la notification. Contrairement à ce que soutient le recourant, on ne peut rien tirer du fait que l’épouse ait fait opposition au commandement de payer qui lui était person-nellement destiné et que celui destiné au recourant soit resté libre d’opposition. Enfin, la contradiction qui existe entre les déclarations du recourant et celles de son épouse au sujet du commandement de payer n° 7'385'421 – l’époux soutenant que celui-ci a été remis dans la boîte aux lettres alors que l’épouse dit l’avoir reçu en mains propres – n’est pas déterminante pour le sort du présent recours, qui ne porte que sur le commandement de payer n° 7'385'428. Il découle de ce qui précède que le recourant n’a pas établi que la notification du commandement de payer litigieux aurait été irrégulière. Au contraire, les éléments du dossier attestent de sa validité. III. Le recours doit ainsi être rejeté et le prononcé entrepris confirmé. Le présent arrêt est rendu sans frais judiciaires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