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35 vom 18. Oktober 2015</w:t>
      </w:r>
    </w:p>
    <w:p>
      <w:r>
        <w:t>VD Tribunal cantonal, 2015-10-18, FR</w:t>
      </w:r>
    </w:p>
    <w:p>
      <w:r>
        <w:rPr>
          <w:b/>
        </w:rPr>
        <w:t xml:space="preserve">Quelle: </w:t>
      </w:r>
      <w:r>
        <w:t>https://mcp.opencaselaw.ch/entscheid/vd_findinfo_Plainte___2015___35</w:t>
      </w:r>
    </w:p>
    <w:p>
      <w:r>
        <w:t>FR: VD_FINDINFO Plainte / 2015 / 35 du 18 octobre 2015</w:t>
      </w:r>
    </w:p>
    <w:p>
      <w:r>
        <w:t>IT: VD_FINDINFO Plainte / 2015 / 35 del 18 ottobre 2015</w:t>
      </w:r>
    </w:p>
    <w:p>
      <w:pPr>
        <w:pStyle w:val="Heading2"/>
      </w:pPr>
      <w:r>
        <w:t>Regeste</w:t>
      </w:r>
    </w:p>
    <w:p>
      <w:r>
        <w:t>PLAINTE{LP}, CESSION DES DROITS DE LA MASSE, NULLITÉ, RÉVOCATION{EN GÉNÉRAL}, PLAINTE PÉNALE, RESTITUTION DU DÉLAI, DROIT D'ÊTRE ENTENDU | 29 al. 2 Cst., 17 al. 1 LP, 17 al. 2 LP, 22 al. 1 LP, 260 LP, 33 al. 4 LP</w:t>
      </w:r>
    </w:p>
    <w:p>
      <w:pPr>
        <w:pStyle w:val="Heading2"/>
      </w:pPr>
      <w:r>
        <w:t>Erwägungen</w:t>
      </w:r>
    </w:p>
    <w:p>
      <w:r>
        <w:rPr>
          <w:b/>
        </w:rPr>
        <w:t>E. 17</w:t>
      </w:r>
    </w:p>
    <w:p>
      <w:r>
        <w:t>LP. Il s’agit de la Constitution fédérale, des lois fédérales, des principes généraux du droit, de la bonne foi et de l’abus de droit, du contenu obligatoire des formules édictées par le Tribunal fédéral et le droit cantonal, notamment les lois et règlements édictés en application de la LP (Erard, op. cit., n. 17 ad art. 17 LP). Pour qu’il y ait nullité, il faut qu’il s’agisse d’une disposition impérative (Erard, op. cit., nn. 4 et 6). Toutefois, même une règle impérative peut ne pas être d’intérêt public (ATF 87 I 191, consid. 1). La question de savoir si une règle a été édictée dans un intérêt public ou parce qu’elle touche aux intérêts de tiers est sujette à interprétation. C’est en principe le cas des dispositions de procédure et de celles traitant de la compétence matérielle des autorités (Erard, op. cit., n. 7 ad art. 22 LP). Selon la jurisprudence, est en particulier considérée comme d’intérêt public la règle de principe selon laquelle une cession au sens de l’art. 260 LP ne peut intervenir qu’après une renonciation de la masse à faire valoir elle-même les droits et qu’après que l’occasion a été donnée à tous les créanciers de requérir la cession. La raison en est que la violation de cette règle ne lèse pas seulement les droits des créanciers de la faillite ; elle expose les tiers au danger d’être poursuivis à plusieurs reprises et les tribunaux à celui d’être saisis inutilement, ce qui est susceptible d’engendrer le désordre dans le déroulement de la procédure de faillite (ATF 120 III 36 spéc. p. 38, JdT 1996 II 141 ; Cometta, op. cit., n. 13 ad art. 22 LP, p. 164). c) En vertu des conditions imposées par le Tribunal fédéral aux cessionnaires et contenues dans la Formule F7 utilisées par les offices (Jeanneret/Carron, Commentaire romand, nn. 27 ss ad art. 260 LP), l’administration de la faillite peut fixer au cessionnaire un délai pour qu’il exerce son droit. L’administration peut révoquer la cession si le créancier n’agit pas à temps. Elle peut également prolonger le délai pour agir. Lorsqu’il y a plusieurs créanciers cessionnaires, l’administration doit fixer un délai unique à tous les créanciers. Lorsqu’elle prolonge ce délai, elle doit le faire pour tous les créanciers cessionnaires, non au profit d’un seul (ATF 40 III 431). Cette jurisprudence s’inspire du principe d’égalité entre tous les créanciers : selon la jurisprudence, tous ceux qui ont demandé la cession doivent être traités sur un pied d’égalité et l’administration de la faillite est tenue de ne rien entreprendre qui viendrait troubler cette égalité (ATF 121 III 291 consid. 3b). d) En l’espèce, la décision qualifiée de nulle par la recourante est la décision de l’office de révoquer la cession, respectivement le refus de l’office de revenir sur cette révocation. Il s’agit bien d’une mesure au sens de l’art. 22 LP. aa) La recourante, qui se prévaut de la plainte pénale qu’elle a déposée le 26 août 2014, fait valoir que les dispositions d’intérêt public violées par l’office sont les dispositions du CPP (Code de procédure pénale du 5 octobre 2007 ; RS 312.0) relatives à la qualité de plaignant et aux conséquences pénales et civiles attachées au dépôt de la plainte (art. 118 et 119 CPP). Elle considère qu’en déposant plainte contre L.________ et en indiquant expressément dans sa plainte que celle-ci était dirigée aussi contre les co-auteurs et/ou complices, de même qu’en demandant à être plaignante au pénal et au civil dans une procédure déjà dirigée notamment contre les sieurs K.________ et V.________, elle a valablement exercé les droits cédés. La qualité de plaignante de la recourante n’est pas en cause ici. On ne voit pas en quoi la décision de l’office de révoquer la cession au sens de l’art. 260 LP violerait les règles du CPP relatives à la qualité de lésé et de plaignant. La décision de l’office est en effet sans incidence sur la capacité de la recourante à déposer plainte dans le cadre de l’affaire dirigée contre L.________ et d’autres prévenus (art. 118 CPP). bb) En revanche, compte tenu de la jurisprudence du TF exposée plus haut (ATF 120 III 36 cité par Cometta ; ATF 121 III 291 consid. 3b), on peut en effet se demander si les décisions de l’office qui violeraient les règles de procédure édictées par le Tribunal fédéral sur la révocation des cessions et la prolongation des délais pour agir, déduites de l’art. 260 LP et du principe d’égalité entre tous les créanciers, ne sont pas susceptibles d’être annulées indépendamment de toute plainte. Ces règles ne paraissent pas avoir été édictées uniquement dans l’intérêt des parties à la procédure de faillite mais pourraient également intéresser aussi les tiers et, comme indiqué dans l’arrêt cité plus haut, les tribunaux et le déroulement de toute la procédure de faillite. Une violation de ces règles, par exemple dans l’hypothèse où l’office aurait à tort révoqué la cession ou exclu à tort la recourante de la prolongation de délai accordée le 12 janvier 2015 à d’autres créanciers, serait donc susceptible d’entraîner la nullité de la mesure. Cette question peut toutefois demeurer indécise, dès lors que, comme on le verra, sous chiffres IV à V ci-dessous, aucune violation des règles régissant la cession n’est établie en l’espèce. IV. La recourante fait valoir que l’expiration du délai pour agir contre les tiers n’emporte pas péremption du droit d’agir. Elle soutient qu’elle a de toute manière agi dans le délai en déposant plainte le 26 août 2014 contre L.________ &amp; Cie et L.________, ainsi que contre toute autre personne impliquée, ce qui comprendrait V.________ et K.________. a) Selon la jurisprudence, la cession selon l’art. 260 LP n’est pas une cession au sens des art. 164 ss CO. Il s’agit d’une notion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l’ayant droit de la prétention litigieuse; ne lui est cédé que le droit d’agir à la place de la masse (TF 6B_236/2014, ATF 140 IV 155, JdT 2015 IV 107, consid. 3.4.4 et les arrêts cités ; Jeanneret/Carron, Commentaire romand, n. 4 ad art. 260 LP et les réf. citées ; Berti, Basler Kommentar SchKG, n. 56 ad art. 260 LP). Pour faire valoir ses droits, le cessionnaire doit prendre des conclusions. Il peut définir ou chiffrer celles-ci librement dans la mesure de la cession. Il peut limiter ses conclusions à la hauteur de sa propre créance dans la faillite, conclure au paiement d’un montant inférieur, ou faire valoir la prétention entière (Jeanneret/Carron, op. cit., n. 40 ad art. 260 LP ; Berti op. cit., n. 55 ad art. 260 LP). Lorsque la cession intervient en faveur de plusieurs créanciers, ceux-ci doivent agir comme consorts (Jeanneret/Carron, op. cit., nn. 33 et 43 ss ad art. 260 LP). La nature de cette consorité est discutée en doctrine. Une consorité nécessaire n’existerait toutefois qu’entre les créanciers qui ont décidé de faire usage de la cession (ATF 121 III 291, c. 3a). La formule 7F utilisée par les offices, relative à la cession des droits de la masse à teneur de l’art. 260 LP, prévoit notamment que l’administration de la faillite se réserve le droit d’annuler la cession si le créancier cessionnaire n’agit pas en justice dans le délai qui lui aura été fixé. L’inaction du créancier cessionnaire durant le délai fixé est sanctionnée de possible révocation, mais non de péremption ipso jure (ATF 121 III 291, consid. 2a ; Jeanneret/Carron, Commentaire romand, n. 36 ad art. 260 LP ; Tschumy, Quelques réflexions à propos de la cession des droits de la masse au sens de l’art. 260 LP, in JdT 1999 II 34, p. 40). b) En l’espèce, le délai pour agir était fixé au 30 septembre 2014. Ce droit ne se périmant pas aussi longtemps qu’il n’est pas révoqué, la recourante était en droit d’agir même au-delà de cette date, jusqu’à la révocation. La recourante ne peut toutefois se prévaloir de la plainte pénale qu’elle a déposée le 26 août 2014. En premier lieu, en déposant cette plainte, elle n’a fait que dénoncer des infractions qu’elle estime avoir été commises à son détriment et pas au détriment de la société faillie. Or, ce sont bien les droits de cette dernière que la recourante devait faire valoir dans le délai imparti. On ne peut donc considérer le dépôt de cette plainte comme une façon d’exercer les prétentions qui lui avait été cédées. En outre, s’il est certes exact que l’enquête pénale à laquelle elle a demandé à être partie, citée en référence dans sa plainte, est apparemment également dirigée contre les tiers débiteurs, il y a lieu de relever cependant qu’en indiquant vouloir participer à la procédure pénale comme demandeur au pénal et au civil, la recourante n’a fait qu’une déclaration au sens de l’art. 118 CPP, lui donnant le cas échéant la qualité de plaignante. Quand bien même elle aurait pu le faire à ce stade (art. 119 et 123 al. 1 CPP), la recourante n’a en revanche pas pris de conclusions civiles dans sa plainte, ni contre L.________, ni surtout contre les tiers débiteurs. Pour ce motif également, elle ne saurait soutenir avoir fait valoir les droits cédés. Par surabondance, la cession donne au créancier cessionnaire le droit d’exercer en son nom propre les droits de la masse. Il est certes exact que l’arrêt publié aux ATF 140 IV 155 (JdT 2015 IV 107, consid. 3.4.4), cité par les deux parties, a pour objet la notion de lésé selon le CPP, donc un problème a priori différent de celui en cause. Il n’en demeure pas moins que dans cet arrêt, le Tribunal fédéral a dit que la société faillie, jusqu’au moment de sa radiation du registre du commerce, conservait la qualité de lésée dans la procédure pénale dirigée contre les auteurs d’un dommage causé à la société et que, de son côté, le cessionnaire au sens de l’art. 260 LP ne pouvait agir dans la procédure pénale en question que dans la mesure où il était lui-même directement touché dans ses droits. Il y a lieu de déduire de cette jurisprudence que le créancier cessionnaire au sens de l’art. 260 LP ne peut agir dans le cadre de la procédure pénale pour exercer le droit cédé dont il n’est pas devenu titulaire. Il découle de ce qui précède qu’effectivement, à la date de la révocation de la cession, la recourante n’avait ni exercé le droit cédé ni requis de prolongation du délai pour agir. V. La recourante reproche également à l’office d’avoir fait preuve de formalisme excessif en refusant de revenir sur sa décision de révocation, alors même qu’à la suite de productions tardives, il venait de déposer un nouvel état de collocation, auquel elle ne s’était pas opposée, et de prolonger la validité des cessions d’autres créanciers cessionnaires. Elle considère que dans ces circonstances, l’office aurait à tout le moins dû l’interpeller avant de révoquer la cession. a) Selon la jurisprudence (ATF 121 III 291, consid. 3b), le principe d’égalité entre tous les créanciers cessionnaires commande en effet que tous ceux qui ont demandé la cession soient traités sur un pied d’égalité. Il ne commande toutefois de traiter également que les situations semblables. Se trouvent dans une même situation exigeant un traitement égal tous les créanciers qui ont requis la cession, respectivement tous ceux qui ont sollicité une prolongation du délai pour agir. b) En l’espèce, la recourante qui n’avait pas requis la prolongation du délai pour agir à réception de l’avis du 6 janvier 2015 expédié le 12 janvier 2015 (manifestement reçu le 13, dès lors que la lettre de l’avocat du 13 janvier y fait allusion) par lequel l’office lui a notifié la révocation de la cession, ne peut revendiquer de se voir accorder la prolongation octroyée aux créanciers cessionnaires qui avaient requis la prolongation. Pour le surplus, l’office n’avait aucune obligation ni même aucun motif d’interpeller la recourante, qui avait laissé s’écouler plus de trois mois depuis la fin du délai fixé pour agir, sans démontrer avoir agi en justice et sans avoir requis la prolongation du délai pour agir. C’est également à tort que la recourante reproche encore à l’office de n’avoir pas motivé sa décision de révocation, ce qui serait selon elle un autre motif de nullité. L’office a en effet motivé la révocation par le non-respect du délai pour agir. VI. La recourante conclut à la prolongation de la cession jusqu’au 31 janvier 2016. Dans la mesure où ce délai est valablement échu, seule la procédure de restitution de délai de l’art. 33 al. 4 LP entre en ligne de compte. Cette disposition exige la réunion cumulative de trois conditions : un empêchement non fautif de l’intéressé ou de son représentant, le dépôt d’une requête motivée dans un délai égal au délai échu et l’accomplissement de l’acte omis dans le même délai. En l’espèce, c’est à bon droit que l’autorité inférieure de surveillance a constaté que la recourante n’avait justifié d’aucune manière qu’elle aurait été victime d’un empêchement à agir. Dans la plainte du 17 février 2015, le conseil de la recourante a lui-même déclaré que c’était par une inadvertance manifeste que sa cliente n’avait pas agi dans le délai. VII. En conclusion, le recours doit être rejeté et la décision confirmée. Le présent arrêt est rendu sans frais judiciaires ni dépens (art. 20a al. 2 ch. 5 LP ;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