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2014 / 53 vom 31. Oktober 2014</w:t>
      </w:r>
    </w:p>
    <w:p>
      <w:r>
        <w:t>VD Tribunal cantonal, 2014-10-31, FR</w:t>
      </w:r>
    </w:p>
    <w:p>
      <w:r>
        <w:rPr>
          <w:b/>
        </w:rPr>
        <w:t xml:space="preserve">Quelle: </w:t>
      </w:r>
      <w:r>
        <w:t>https://mcp.opencaselaw.ch/entscheid/vd_findinfo_Plainte___2014___53</w:t>
      </w:r>
    </w:p>
    <w:p>
      <w:r>
        <w:t>FR: VD_FINDINFO Plainte / 2014 / 53 du 31 octobre 2014</w:t>
      </w:r>
    </w:p>
    <w:p>
      <w:r>
        <w:t>IT: VD_FINDINFO Plainte / 2014 / 53 del 31 ottobre 2014</w:t>
      </w:r>
    </w:p>
    <w:p>
      <w:pPr>
        <w:pStyle w:val="Heading2"/>
      </w:pPr>
      <w:r>
        <w:t>Regeste</w:t>
      </w:r>
    </w:p>
    <w:p>
      <w:r>
        <w:t>PLAINTE{LP}, COMMANDEMENT DE PAYER, FORME ET CONTENU, LÉGALITÉ, ORDONNANCE ADMINISTRATIVE, REJET DE LA DEMANDE, RÉQUISITION DE POURSUITE | 17 LP, 67 LP</w:t>
      </w:r>
    </w:p>
    <w:p>
      <w:pPr>
        <w:pStyle w:val="Heading2"/>
      </w:pPr>
      <w:r>
        <w:t>Erwägungen</w:t>
      </w:r>
    </w:p>
    <w:p>
      <w:r>
        <w:rPr>
          <w:b/>
        </w:rPr>
        <w:t>E. 3</w:t>
      </w:r>
    </w:p>
    <w:p>
      <w:r>
        <w:t>de l’ordonnance du 9 février 2011 concernant la communication électronique dans le domaine des poursuites pour dettes et des faillites (ci-après : ordonnance sur la communication électronique LP) [RS 281.112.1], contient informatiquement les modifications litigieuses du formulaire du commandement de payer. C’est ce que laissent entendre les Offices dans les décisions querellées, puisqu’ils invoquent la non-conformité des réquisitions de poursuite à des prescriptions de l'OFJ qui les brideraient dans l’établissement des commandements de payer. cc) Cette introduction, par des moyens indirects, d’un nouveau formulaire de commandement de payer et d’un formulaire – ou, à tout le moins, d'exigences restrictives de forme – de réquisition de poursuite pose évidemment un problème de base légale. aaa) Le principe de la légalité exige que l'ensemble de l'activité étatique repose sur une base légale, trouve son fondement dans une loi – au sens matériel – qui soit suffisamment précise et déterminée et qui émane de l'autorité compétente (Auer/Malinverni/Hottelier, Droit constitutionnel suisse, vol. I, n. 1822). Selon la jurisprudence du Tribunal fédéral, ce principe exige que la base légale revête une certaine "densité normative", c'est-à-dire qu'elle présente des garanties suffisantes de clarté, de précision et de transparence. Cette exigence de précision de la norme découle de celle de la sécurité du droit et du principe d'égalité (ibid., n. 1842). bbb) En l'espèce, l’art. 5 de l’ordonnance sur la communication électronique LP – qui définit ce qu'est la version 2.0 de l'e-LP – ne constitue pas une base légale claire pour une modification du contenu du commandement de payer ni, par ricochet, de celui de la réquisition de poursuite. d) En conclusion, les art. 67 LP et 3 al. 2 Oform ayant été violés, les plaintes sont bien fondées. La décision de l’autorité inférieure de surveillance doit ainsi être réformée en ce sens que les plaintes sont admises et le dossier renvoyé aux Offices afin qu’ils rédigent et notifient les commandements de payer relatifs aux réquisitions de poursuite de la recourante conformément aux art. 69 à 71 LP. III. a) Dans un arrêt rendu le 12 septembre 2014 dans une cause similaire (CPF, 12 septembre 2014/39), la cour de céans a considéré que l’Instruction n° 2 ne constituait pas une norme suffisante pour introduire un formulaire-type de commandement de payer imposant des conditions formelles aussi restrictives que, notamment, la suppression de la possibilité d’intégrer des acomptes ou la limitation de la longueur de l'indication de la cause de l'obligation, ni pour valablement étendre son effet à l’établissement des réquisitions de poursuite. La cour de céans a en effet rappelé que, selon la jurisprudence et la doctrine, on distingue quatre types d’ordonnances du Conseil fédéral : indépendantes et (dépendantes) d’exécution, de substitution et administratives. aa) En particulier, les ordonnances d’exécution sont celles que le Conseil fédéral édicte pour "mettre en œuvre la législation" (art. 182 al. 2 Cst.). Elles sont d’abord soumises à un contrôle de la légalité; l’autorité chargée de les appliquer examine si elles restent dans le cadre de la loi et se contentent d’en définir le contenu et d’en préciser les termes; lorsqu’en revanche une ordonnance d’exécution contient des règles primaires, savoir "des dispositions qui étendent le champ d’application de la loi en restreignant les droits des administrés ou en imposant à ceux-ci des obligations", sans que ces règles puissent se fonder sur une délégation législative spécifique, elle viole le principe constitutionnel de la séparation des pouvoirs; le juge doit ainsi refuser de l’appliquer et annuler la décision entreprise; le contrôle de la légalité est ensuite suivi d’un contrôle de la constitutionnalité (ATF 136 V 146; 134 I 313; 133 II 331, JT 2007 I 504; ATF 124 I 127; 116 V 28; 104 Ib 171; Auer et alii, op. cit., nn. 1977 à 1979 et les réf. cit.). bb) Les ordonnances de substitution sont quant à elles édictées en fonction d’une délégation législative, par laquelle la loi "autorise" le Conseil fédéral à édicter des règles de droit sous la forme d’ordonnances (art. 164 al. 2 et 182 al. 1 Cst.); la délégation doit se limiter à une matière déterminée et définir, au moins dans les grandes lignes, le but, l’objet et l’étendue des pouvoirs délégués; le Tribunal fédéral est en principe habilité à examiner le contenu de la délégation législative; quant aux autorités chargées d’appliquer les ordonnances de substitution, elles sont habilitées à en examiner la légalité, soit à vérifier si elles restent dans le cadre et dans les limites de la délégation législative; dans cet examen, le juge doit se borner à examiner si les dispositions incriminées sortent manifestement du cadre de la délégation de compétence donnée par le législateur à l’exécutif; il ne doit pas substituer sa propre appréciation à celle de l’autorité dont émane la règlementation en cause, mais se borner à vérifier si la disposition litigieuse est propre à réaliser objectivement le but de la loi, sans se soucier de savoir si elle constitue le moyen le mieux approprié pour atteindre ce but; ce contrôle se confond donc pratiquement avec le contrôle de l’arbitraire de la réglementation en cause (ATF 137 III 217, JT 2012 II 311; ATF 136 V 24; 136 II 337, RDAF 2011 I 552; ATF 131 II 271; 129 II 160; 122 V 300; Auer et alii, op. cit., nn. 1985 et 1986). Enfin, le juge doit contrôler la constitutionnalité des ordonnances de substitution (ATF 136 II 337, RDAF 2011 I 552; ATF 133 V 569; 131 II 271; Auer et alii, op. cit., n. 1987). cc) Quant aux ordonnances administratives, elles ne déploient leurs effets qu’à l’égard de l’administration. Elles ne créent pas de nouvelles règles de droit et ne peuvent contraindre les administrés à adopter un certain comportement. Elles donnent le point de vue de l’administration sur l’application d’une règle de droit, et non une interprétation contraignante de celle-ci. C’est au juge qu’il incombe de vérifier si le point de vue de l’administration qu’exprime l’ordonnance administrative est conforme à la loi et à la Constitution. Situées au dernier rang de la hiérarchie des normes fédérales, les ordonnances administratives ne doivent en effet rien renfermer qui aille à l’encontre de la Constitution, des lois et des ordonnances législatives, dûment interprétées par la jurisprudence (ATF 138 I 274, JT 2013 I 3; ATF 138 V 50; 136 V 295; 128 I 167; Auer et alii, nn. 1988 à 1990). b) Le Service de haute surveillance en matière de poursuite et faillite a intitulé l’acte en cause "Instruction". En outre, les chiffres 20 et 21 de l’Instruction n° 2 disent de celle-ci qu’elle est une "directive". Ainsi, de par sa lettre, l’acte en cause relève de l’ordonnance administrative. Cette interprétation est confortée par l’étendue de la délégation figurant à l’art. 1 OHS-LP, qui permet au Service de haute surveillance d’édicter des instructions et des directives, et non des ordonnances d’exécution. Elle est confirmée par le fait que cette directive n’a pas été intégrée au recueil systématique de la législation fédérale. C’est dire que, pour l’administration fédérale et singulièrement le DFJP lui-même, cet acte a, du point de vue systématique, un rang inférieur à celui des ordonnances rendues en matière de poursuite et de faillite par le Conseil fédéral, le Tribunal fédéral ou, même, le département en question. Enfin, il ressort de l’Instruction n° 2 et de son annexe qu’elle a pour but de créer un nouveau formulaire pour le commandement de payer, plus précisément cinq versions de ce formulaire, et que celui-ci est destiné à remplacer le formulaire en usage "à compter de l’entrée en vigueur de la présente directive" (cf. ch. 1 ss et 20 de l’Instruction n° 2). Il résulte de ce qui précède que l’Instruction n° 2 est une simple ordonnance administrative, qui ne s’adresse et ne peut déployer d’effet qu’à l’égard de l’administration – en l’occurrence les autorités de poursuite, inférieures et supérieures – , mais qui ne peut pas créer de nouvelles règles de droit ou sortir du cadre de l’application de la Constitution, de la loi et des ordonnances législatives, telles qu’interprétées par la jurisprudence. c) On doit ainsi conclure que l’Instruction n° 2, quand elle limite le nombre de créances du commandement de payer à dix, sort du cadre de l’application de la LP. Quant aux autres limitations, relatives aux acomptes ou au nombre de caractères du titre ou de la cause de la créance, elles ne figurent pas dans ladite instruction et sont donc dépourvues de toute base légale ou réglementaire. Au demeurant, si elles y figuraient, elles excéderaient aussi la stricte application de la LP et limiteraient indûment le droit des créanciers. IV. En conclusion, le recours doit être admis, le prononcé réformé en ce sens que les plaintes sont admises et les dossiers renvoyés aux Offices intimés pour qu’ils établissent et notifient les commandements de payer relatifs aux réquisitions de poursuite de la recourante, conformément aux art. 69 à 71 LP, une fois que la recourante aura avancé les frais des poursuites au sens de l’art. 68 LP. Le présent arrêt est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