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2014 / 49 vom 17. Oktober 2014</w:t>
      </w:r>
    </w:p>
    <w:p>
      <w:r>
        <w:t>VD Tribunal cantonal, 2014-10-17, FR</w:t>
      </w:r>
    </w:p>
    <w:p>
      <w:r>
        <w:rPr>
          <w:b/>
        </w:rPr>
        <w:t xml:space="preserve">Quelle: </w:t>
      </w:r>
      <w:r>
        <w:t>https://mcp.opencaselaw.ch/entscheid/vd_findinfo_Plainte___2014___49</w:t>
      </w:r>
    </w:p>
    <w:p>
      <w:r>
        <w:t>FR: VD_FINDINFO Plainte / 2014 / 49 du 17 octobre 2014</w:t>
      </w:r>
    </w:p>
    <w:p>
      <w:r>
        <w:t>IT: VD_FINDINFO Plainte / 2014 / 49 del 17 ottobre 2014</w:t>
      </w:r>
    </w:p>
    <w:p>
      <w:pPr>
        <w:pStyle w:val="Heading2"/>
      </w:pPr>
      <w:r>
        <w:t>Regeste</w:t>
      </w:r>
    </w:p>
    <w:p>
      <w:r>
        <w:t>PLAINTE{LP}, ADJUDICATION{VENTE AUX ENCHÈRES}, VENTE AUX ENCHÈRES FORCÉES, DÉLAI, ÉPURATION DE L'ÉTAT DES CHARGES, ÉTAT DES CHARGES, ASSISTANCE JUDICIAIRE, PUBLICATION{EN GÉNÉRAL} | 139 LP, 17 LP, 117 CPC (CH)</w:t>
      </w:r>
    </w:p>
    <w:p>
      <w:pPr>
        <w:pStyle w:val="Heading2"/>
      </w:pPr>
      <w:r>
        <w:t>Erwägungen</w:t>
      </w:r>
    </w:p>
    <w:p>
      <w:r>
        <w:rPr>
          <w:b/>
        </w:rPr>
        <w:t>E. 31</w:t>
      </w:r>
    </w:p>
    <w:p>
      <w:r>
        <w:t>al. 1 LVLP). II. La décision de l’autorité inférieure de surveillance peut être confirmée par adoption de motifs. Comme le retient la décision attaquée, le délai pour déposer plainte contre les conditions de vente court du jour du dépôt des conditions de vente au bureau de l’office des poursuites, c’est-à-dire que le premier jour compté est le lendemain du jour du dépôt. Le jour du dépôt est celui indiqué dans la publication des enchères ou dans la communication écrite adressée à un cercle d’intéressés, pour autant que l’on puisse constater une communication effective ou retenir une communication fictive (Gilliéron, Commentaire de la loi fédérale sr la poursuite pour dettes et la faillite, n. 16 ad art. 134 LP ; Piotet, Commentaire romand, n. 6 ad art. 134 LP). Dans cette mesure, en cas de double communication, c’est la communication par écrit qui prévaut (Gilliéron, op. cit., n. 13 ad art. 139 LP). En vertu de l’art. 139 LP, l’office communique, par pli simple, un exemplaire de la publication au créancier, au débiteur, au tiers propriétaire de l’immeuble et à tout intéressé inscrit au registre foncier, s’ils ont une résidence connue ou un représentant. En l’espèce, c’est à juste titre que l’autorité inférieure de surveillance a constaté (cons. 1 b), p. 5) que le dies a quo du délai de plainte était le 17 octobre 2013, soit le lendemain de la réception par le recourant de l’avis 139 LP adressé en courrier A et que ce délai venait à échéance le lundi 28 octobre suivant. La plainte déposée le 21 novembre 2013 était donc tardive. Quant à la date du 11 novembre 2013 revendiquée par le recourant comme point de départ du délai de plainte, il s’agit - comme la relevé l’autorité inférieure - de la date de mise à disposition des conditions de vente aux intéressés, qui n’est pas celle du dépôt. La communication 139 LP est à cet égard sans équivoque, puisqu’elle mentionne que les conditions de vente comprenant l’état des charges seront déposées à l’office dès le 16 octobre 2013 et qu’elles peuvent être attaquées dans les dix jours dès la date du dépôt . C’est également en vain que le recourant plaide l’existence d’un flou entre la date du dépôt des conditions de vente indiquées dans les publications, soit le 21 octobre 2013, et celle indiquée dans la communication spéciale qui lui a été adressée le 15 octobre 2013. Comme mentionné plus haut, ce sont les indications contenues dans l’avis spécial, que le recourant ne conteste pas avoir reçu, qui prévalent. Au demeurant, même si l’on devait prendre pour point de départ la date du 27 octobre 2013, on devrait constater que la plainte déposée le 21 novembre 2013 est également tardive. III. a) En conséquence, le recours doit être rejeté, sans qu’il y ait lieu d’examiner les arguments de fond du recourant. L'arrêt est rendu sans frais ni dépens (art. 61 al. 2 let. a et 62 al. 2 OELP [Ordonnance du 23 septembre 1996 sur les émoluments perçus en application de la loi fédérale sur la poursuite pour dettes et la faillite; RS 281.35]). b) Le recourant a par ailleurs demandé l'assistance judiciaire pour la procédure de recours. Dans la mesure où le présent arrêt est rendu sans frais, la question ne se pose que pour l'éventuelle commission d'office de son conseil (art. 118 al. 1 let. c CPC). Aux termes de l'art. 117 CPC, une personne a droit à l'assistance judiciaire si elle ne dispose pas des ressources suffisantes et si sa cause ne paraît pas dépourvue de toute chance de succès. En l'espèce, les moyens développés par le recourant ont été aisément rejetés puisqu'il a suffi de confirmer ce que l'autorité inférieure de surveillance avait d'ores et déjà retenu, savoir la tardiveté de la plainte. Le recours était ainsi clairement dénué de chance de succès. En définitive, il convient de refuser d'accorder au recourant le bénéfice de l'assistance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