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45 vom 8. Dezember 2014</w:t>
      </w:r>
    </w:p>
    <w:p>
      <w:r>
        <w:t>VD Tribunal cantonal, 2014-12-08, FR</w:t>
      </w:r>
    </w:p>
    <w:p>
      <w:r>
        <w:rPr>
          <w:b/>
        </w:rPr>
        <w:t xml:space="preserve">Quelle: </w:t>
      </w:r>
      <w:r>
        <w:t>https://mcp.opencaselaw.ch/entscheid/vd_findinfo_Plainte___2014___45</w:t>
      </w:r>
    </w:p>
    <w:p>
      <w:r>
        <w:t>FR: VD_FINDINFO Plainte / 2014 / 45 du 8 décembre 2014</w:t>
      </w:r>
    </w:p>
    <w:p>
      <w:r>
        <w:t>IT: VD_FINDINFO Plainte / 2014 / 45 del 8 dicembre 2014</w:t>
      </w:r>
    </w:p>
    <w:p>
      <w:pPr>
        <w:pStyle w:val="Heading2"/>
      </w:pPr>
      <w:r>
        <w:t>Regeste</w:t>
      </w:r>
    </w:p>
    <w:p>
      <w:r>
        <w:t>COMMANDEMENT DE PAYER, FORME ET CONTENU, LÉGALITÉ, REJET DE LA DEMANDE, RÉTROACTIVITÉ, RÉQUISITION DE POURSUITE, PLAINTE{LP} | 17 LP, 67 LP</w:t>
      </w:r>
    </w:p>
    <w:p>
      <w:pPr>
        <w:pStyle w:val="Heading2"/>
      </w:pPr>
      <w:r>
        <w:t>Erwägungen</w:t>
      </w:r>
    </w:p>
    <w:p>
      <w:r>
        <w:rPr>
          <w:b/>
        </w:rPr>
        <w:t>E. 17</w:t>
      </w:r>
    </w:p>
    <w:p>
      <w:r>
        <w:t>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Schuldbetreibungs-und Konkursrechts, 7 e éd. 2003, § 16 N 4). c) En l’espèce, il n’est pas contesté que la réquisition de poursuite litigieuse comportait toutes les mentions obligatoires énumérées à l’art. 67 LP. Elle n’était donc pas "incomplète" au sens de l’art. 3 al. 2 Oform. Ainsi, au regard de la LP et de l’Oform, l’office ne pouvait pas refuser d’établir et de notifier un commandement de payer à réception de cette réquisition. L’Office a néanmoins refusé de le faire en invoquant un changement dans son programme informatique intervenu en vue d'adapter la forme et le contenu du commandement de payer et de la commination de faillite aux prescriptions obligatoires édictées par l'OFJ, qui imposerait certaines conditions de forme pour que la réquisition de poursuite soit acceptée, dont il découlerait que les acomptes ne peuvent plus être mentionnés et doivent être déduits de la créance. aa) On comprend à la lecture de l'Instruction n° 2 du 15 avril 2014 que l'OFJ a modifié le formulaire type en vigueur concernant le commandement de payer par le biais de cette directive, en précisant à ses chiffres 20 et 21 que, dès son entrée en vigueur le 1 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 créance à dix (cf. ch. 13). En outre, elle est entrée en vigueur le 1 er mai 2014, soit après que l’office a pris la décision en cause. Elle ne pouvait donc pas servir de fondement juridique à cette décision.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l’Office expose dans la décision querellée, puisqu’il ne fait mention que de la modification d’un programme informatique qui le briderait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l'e-LP – ne constitue pas une base légale claire pour une modification du contenu du commandement de payer ni, par ricochet, de celui de la réquisition de poursuite. A fortiori ne pouvait-il pas servir de base légale à la modification du formulaire de commandement de payer avant le 1 er mai 2014, afin de justifier cette modification dans les cantons qui l’auraient intégrée de fait avant cette date en mettant en oeuvre la version 2.0. L’entrée en vigueur de telles modifications par le biais de l’informatique ne pouvait pas non plus se justifier a posteriori, par l’introduction de l’Instruction n o 2 du 15 avril 2014, dont le chiffre 21 dispose que : "La présente directive entre en vigueur le 1 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 e éd., Berne 2012, nn. 2.4.3.1. et 2.4.3.2). Aucune de ces deux conditions n'est remplie en l'espèce. Il s'ensuit que ni l’ordonnance sur la communication électronique LP ni, pour les réquisitions déposées avant son entrée en vigueur le 1 er mai 2014, l'Instruction n° 2 ne peuvent constituer des bases légales pour la décision litigieuse.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 commandement de payer relatif à la réquisition de poursuite du recourant conformément aux art. 69 à 71 LP. V. En outre,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On doit ainsi conclure que l’Instruction n° 2, quand elle limite le nombre de créances du commandement de payer à dix, sort du cadre de l'application de la LP. Quant aux autres limitations, relatives aux acomptes et au nombre de caractères du titre ou de la cause de la créance, elles ne figurent pas dans ladite instruction et sont donc dépourvues de toute base légale oui réglementaire. Au demeurant, si elles y figuraient, elles excéderaient aussi la stricte application de la LP et limiteraient indûment le droit des créanciers. V. En conclusion, le recours doit être admis, le prononcé réformé en ce sens que la plainte est admise et le dossier renvoyé à l'office intimé pour qu'il établisse et notifie le commandement de payer relatif à la réquisition de poursuite de la recourante, conformément aux art. 69 à 71 LP, une fois que la recourante aura avancé les frais de la poursuite au sens de l'art. 68 LP.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