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42 vom 30. September 2014</w:t>
      </w:r>
    </w:p>
    <w:p>
      <w:r>
        <w:t>VD Tribunal cantonal, 2014-09-30, FR</w:t>
      </w:r>
    </w:p>
    <w:p>
      <w:r>
        <w:rPr>
          <w:b/>
        </w:rPr>
        <w:t xml:space="preserve">Quelle: </w:t>
      </w:r>
      <w:r>
        <w:t>https://mcp.opencaselaw.ch/entscheid/vd_findinfo_Plainte___2014___42</w:t>
      </w:r>
    </w:p>
    <w:p>
      <w:r>
        <w:t>FR: VD_FINDINFO Plainte / 2014 / 42 du 30 septembre 2014</w:t>
      </w:r>
    </w:p>
    <w:p>
      <w:r>
        <w:t>IT: VD_FINDINFO Plainte / 2014 / 42 del 30 settembre 2014</w:t>
      </w:r>
    </w:p>
    <w:p>
      <w:pPr>
        <w:pStyle w:val="Heading2"/>
      </w:pPr>
      <w:r>
        <w:t>Regeste</w:t>
      </w:r>
    </w:p>
    <w:p>
      <w:r>
        <w:t>RÉQUISITION DE POURSUITE, REJET DE LA DEMANDE, FORME ET CONTENU, COMMANDEMENT DE PAYER, LÉGALITÉ, RÉTROACTIVITÉ, ORDONNANCE ADMINISTRATIVE | 15 LP, 67 LP</w:t>
      </w:r>
    </w:p>
    <w:p>
      <w:pPr>
        <w:pStyle w:val="Heading2"/>
      </w:pPr>
      <w:r>
        <w:t>Erwägungen</w:t>
      </w:r>
    </w:p>
    <w:p>
      <w:r>
        <w:rPr>
          <w:b/>
        </w:rPr>
        <w:t>E. 2</w:t>
      </w:r>
    </w:p>
    <w:p>
      <w:r>
        <w:t>avril 2014 a été formée en temps utile. Elle est dès lors formellement et matériellement recevable. III. a) En substance, la plaignante se plaint d'une violation de l’art. 67 LP. Elle fait valoir que l’Office ne pouvait pas imposer les conditions figurant dans sa lettre du 28 mars 2014; les conditions nouvelles posées dans l’Instruction n° 2 enfreindraient le principe de la légalité, en violant et/ou outrepassant l’art. 67 al. 1 ch. 1 à 4 LP, et l’Office aurait ainsi violé l’art. 3 al. 2 Oform, en refusant de recevoir sa réquisition, qui était complète. Quant à l’Instruction n° 2, elle ne mentionnerait pas l’impossibilité d’indiquer des acomptes dans la réquisition de poursuite; en outre, elle ne s’appliquerait qu’à la rédaction des commandements de payer, et non à celle des réquisitions de poursuite; enfin, elle est entrée en vigueur le 1 er mai 2014, de sorte que l’Office aurait rendu une décision sur la base d’instructions non encore en vigueur. La plaignante observe au surplus que les conditions figurant dans la lettre de l’Office du 28 mars 2014 ont été introduites dans le cadre de l’e-LP 2.0 et fait valoir que la participation au réseau est facultative pour les créanciers, selon l’art. 7 al. 2 de l’ordonnance concernant la communication électronique dans le domaine des poursuites pour dettes et des faillites (ci-après : ordonnance sur la communication électronique LP). Cette disposition serait violée car, de facto, on exigerait d’elle qu’elle adhère à ce système. Enfin, la plaignante soutient que l’art. 5 al. 1 Cst. [Constitution fédérale; RS 101], qui pose le principe de la légalité des actes de l’Etat, a été violé; l’Instruction n° 2 serait à la base une simple ordonnance administrative, qui n’aurait pas force de loi; toutefois, par les conditions qu’elle impose, elle aurait des effets contraignants pour les créanciers et, de fait, aurait force légale; l’art. 15 al. 2 LP, selon lequel le Conseil fédéral édicte les règlements et ordonnances d’exécution nécessaires serait enfreint, l’Instruction n° 2 n’étant pas une "ordonnance d’exécution nécessaire". b) L’Office, pour sa part, rappelle que l'OFJ, en sa qualité d’autorité de haute surveillance des offices des poursuites, est habilité de manière autonome à édicter des instructions, des directives et des recommandations à l’intention des autorités cantonales de surveillance, des offices des poursuites et des faillites et organes d’exécution privés, dans le but de pourvoir à une application correcte et uniforme de la LP (art. 1 let. a OHS-LP [ordonnance relative à la haute surveillance en matière de poursuite et de faillite du 22 novembre 2006; RS 281.11]), et à élaborer des modèles de formulaires utilisés dans la procédure de poursuite et de faillite (art. 1 let. b OHS-LP). Il soutient ensuite que sa position est justifiée au vu de l’Instruction n° 2 du Service de haute surveillance en matière de poursuite et faillite de l'OFJ du 15 avril 2014, laquelle revêt un caractère obligatoire pour tous les offices, et invoque les modifications informatiques entrées en vigueur dans le canton de Vaud le 24 mars 2014 pour répondre aux exigences des art. 5 al. 2 et 9a de l’ordonnance sur la communication électronique LP, lesquelles rendraient la saisie de la réquisition de la recourante impossible.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L'Oform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w:t>
      </w:r>
    </w:p>
    <w:p>
      <w:r>
        <w:rPr>
          <w:b/>
        </w:rPr>
        <w:t>E. 3</w:t>
      </w:r>
    </w:p>
    <w:p>
      <w:r>
        <w:t>de l’ordonnance sur la communication électronique LP, contient informatiquement les modifications litigieuses du formulaire du commandement de payer. C’est ce que l’Office laisse entendre dans la décision querellée, puisqu'il invoque la non-conformité de la réquisition de poursuite à des prescriptions de l'OFJ qui le brideraient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l'Instruction n° 2 ne peuvent constituer des bases légales pour la décision de l'Office.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de la recourante conformément aux art. 69 à 71 LP. V. En outre,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et le prononcé réformé en ce sens que la plainte est admise et le dossier renvoyé à l’Office intimé pour qu’il établisse et notifie le commandement de payer relatif à la réquisition de poursuite de la recourante, conformément aux art. 69 à 71 LP, une fois que la recourante aura avancé les frais de poursuite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