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41 vom 30. September 2014</w:t>
      </w:r>
    </w:p>
    <w:p>
      <w:r>
        <w:t>VD Tribunal cantonal, 2014-09-30, FR</w:t>
      </w:r>
    </w:p>
    <w:p>
      <w:r>
        <w:rPr>
          <w:b/>
        </w:rPr>
        <w:t xml:space="preserve">Quelle: </w:t>
      </w:r>
      <w:r>
        <w:t>https://mcp.opencaselaw.ch/entscheid/vd_findinfo_Plainte___2014___41</w:t>
      </w:r>
    </w:p>
    <w:p>
      <w:r>
        <w:t>FR: VD_FINDINFO Plainte / 2014 / 41 du 30 septembre 2014</w:t>
      </w:r>
    </w:p>
    <w:p>
      <w:r>
        <w:t>IT: VD_FINDINFO Plainte / 2014 / 41 del 30 settembre 2014</w:t>
      </w:r>
    </w:p>
    <w:p>
      <w:pPr>
        <w:pStyle w:val="Heading2"/>
      </w:pPr>
      <w:r>
        <w:t>Regeste</w:t>
      </w:r>
    </w:p>
    <w:p>
      <w:r>
        <w:t>COMMANDEMENT DE PAYER, RÉQUISITION DE POURSUITE, FORME ET CONTENU, REJET DE LA DEMANDE, ORDONNANCE ADMINISTRATIVE, LÉGALITÉ, RÉTROACTIVITÉ | 15 LP, 67 LP</w:t>
      </w:r>
    </w:p>
    <w:p>
      <w:pPr>
        <w:pStyle w:val="Heading2"/>
      </w:pPr>
      <w:r>
        <w:t>Erwägungen</w:t>
      </w:r>
    </w:p>
    <w:p>
      <w:r>
        <w:rPr>
          <w:b/>
        </w:rPr>
        <w:t>E. 4</w:t>
      </w:r>
    </w:p>
    <w:p>
      <w:r>
        <w:t>OHS-LP [ordonnance relative à la haute surveillance en matière de poursuite et de faillite du 22 novembre 2006; RS 281.11]).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Commentaire précité, n. 17 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Schuldbetreibungs-und Konkursrechts, 7 e éd. 2003, § 16 N 4). b) En l’espèce, il n’est pas contesté que les deux réquisitions de poursuite litigieuses comportaient toutes les mentions obligatoires énumérées à l’art. 67 LP. Elles n’étaient donc pas "incomplètes" au sens de l’art. 3 al. 2 Oform. Ainsi, au regard de la LP et de l’Oform, l’Office ne pouvait pas refuser d’établir et de notifier des commandements de payer à réception de ces réquisitions. c) L’Office a néanmoins refusé de le faire en invoquant des "prescriptions obligatoires quant à la forme et au contenu du commandement de payer et de la commination de faillite" imposées par des directives de l'OFJ, savoir, en résumé : limitation du nombre des créances à dix au maximum, limitation du nombre de caractères de la mention de la cause de l'obligation, mention d'un seul taux d'intérêt et pas de mention d'acomptes. aa) On comprend à la lecture de l'Instruction n° 2 du 15 avril 2014 que l'OFJ a modifié le formulaire type en vigueur concernant le commandement de payer par le biais de cette directive, en précisant à ses chiffres 20 et 21 que, dès son entrée en vigueur le 1 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En outre, elle est entrée en vigueur le 1 er mai 2014, soit après que l’Office a pris les décisions en cause. Elle ne pouvait donc pas servir de fondement juridique à ces décisions. bb) Il apparaît que la modification du formulaire de commandement de payer a été anticipée par le biais du projet "e-LP"; selon toute vraisemblance,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laisse entendre l’Office dans les décisions querellées, puisqu’il invoque la non-conformité des réquisitions de poursuite à des prescriptions de l'OFJ qui le brideraient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l'e-LP – ne constitue pas une base légale claire pour une modification du contenu du commandement de payer ni, par ricochet, de celui de la réquisition de poursuite. A fortiori ne pouvait-il pas servir de base légale à la modification du formulaire de commandement de payer avant le 1 er mai 2014, afin de justifier cette modification dans les cantons qui l’auraient intégrée de fait avant cette date en mettant en oeuvre la version 2.0. L’entrée en vigueur de telles modifications par le biais de l’informatique ne pouvait pas non plus se justifier a posteriori, par l’introduction de l’Instruction n o 2 du 15 avril 2014, dont le chiffre 21 dispose que : "La présente directive entre en vigueur le 1 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La rétroactivité est directement contraire au principe de la sécurité et de la prévisibilité du droit. Elle n'est admise qu'exceptionnellement, si un intérêt public important le justifie et à condition de reposer sur une base légale suffisante (Moor/Flückiger/Martenet, Droit administratif, Volume I, Les fondements, 3 e éd., Berne 2012, nn. 2.4.3.1. et 2.4.3.2). Aucune de ces deux conditions n'est remplie en l'espèce. Il s'ensuit que ni l’ordonnance sur la communication électronique LP ni l'Instruction n° 2 ne peuvent constituer des bases légales pour les deux décisions litigieuses. d) En conclusion, les art. 67 LP et 3 al. 2 Oform ayant été violés, la plainte est bien fondée. La décision de l’autorité inférieure de surveillance doit ainsi être réformée en ce sens que la plainte est admise et le dossier renvoyé à l’Office afin qu’il rédige et notifie les commandements de payer relatifs aux réquisitions de poursuite de la recourante conformément aux art. 69 à 71 LP. V. En outre,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En effet,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VI. En conclusion, le recours doit être admis, le prononcé réformé en ce sens que la plainte est admise et le dossier renvoyé à l’Office intimé pour qu’il établisse et notifie les commandements de payer relatifs aux réquisitions de poursuite de la recourante, conformément aux art. 69 à 71 LP, une fois que la recourante aura avancé les frais des poursuites au sens de l’art. 68 LP.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