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38 vom 12. September 2014</w:t>
      </w:r>
    </w:p>
    <w:p>
      <w:r>
        <w:t>VD Tribunal cantonal, 2014-09-12, FR</w:t>
      </w:r>
    </w:p>
    <w:p>
      <w:r>
        <w:rPr>
          <w:b/>
        </w:rPr>
        <w:t xml:space="preserve">Quelle: </w:t>
      </w:r>
      <w:r>
        <w:t>https://mcp.opencaselaw.ch/entscheid/vd_findinfo_Plainte___2014___38</w:t>
      </w:r>
    </w:p>
    <w:p>
      <w:r>
        <w:t>FR: VD_FINDINFO Plainte / 2014 / 38 du 12 septembre 2014</w:t>
      </w:r>
    </w:p>
    <w:p>
      <w:r>
        <w:t>IT: VD_FINDINFO Plainte / 2014 / 38 del 12 settembre 2014</w:t>
      </w:r>
    </w:p>
    <w:p>
      <w:pPr>
        <w:pStyle w:val="Heading2"/>
      </w:pPr>
      <w:r>
        <w:t>Regeste</w:t>
      </w:r>
    </w:p>
    <w:p>
      <w:r>
        <w:t>RÉQUISITION DE POURSUITE, FORME ET CONTENU, LÉGALITÉ, REJET DE LA DEMANDE, ORDONNANCE ADMINISTRATIVE, RÉTROACTIVITÉ, COMMANDEMENT DE PAYER | 15 LP, 67 LP</w:t>
      </w:r>
    </w:p>
    <w:p>
      <w:pPr>
        <w:pStyle w:val="Heading2"/>
      </w:pPr>
      <w:r>
        <w:t>Erwägungen</w:t>
      </w:r>
    </w:p>
    <w:p>
      <w:r>
        <w:rPr>
          <w:b/>
        </w:rPr>
        <w:t>E. 7</w:t>
      </w:r>
    </w:p>
    <w:p>
      <w:r>
        <w:t>al. 2 de l’ordonnance sur la communication électronique LP; cette disposition serait violée puisque, de facto, on exigerait d’elle qu’elle adhère au réseau. Enfin, dans un dernier argument, la recourante soutient que l’art. 5 al. 1 Cst. [Constitution fédérale; RS 101], qui pose le principe de la légalité des actes de l’Etat, a été violé; l’Instruction n° 2 serait à la base une simple ordonnance administrative, qui n’aurait pas force de loi; toutefois, par les conditions qu’elle impose, elle aurait des effets contraignants pour les créanciers et, de fait, aurait force légale; l’art. 15 al. 2 LP, selon lequel le Conseil fédéral édicte les règlements et ordonnances d’exécution nécessaires, serait enfreint, l’Instruction n° 2 n’étant pas une "ordonnance d’exécution nécessaire". b) Pour sa part, l’Office intimé s’en remet à justice. En première instance, il a souligné qu’il n’avait aucune marge de manœuvre, en particulier dans l’utilisation du programme Themis. IV. a) La réquisition de poursuite est l’acte de procédure de la partie par lequel le prétendu créancier (le poursuivant) requiert l’intervention d’un organe étatique (l’office des poursuites) qui doit commencer la poursuite en notifiant, ou en faisant notifier, au prétendu débiteur (le poursuivi) une sommation (le commandement de payer) qui, à défaut d’opposition ou l’opposition étant levée provisoirement ou définitivement, devient un titre exécutoire qui permet de requérir la continuation de la poursuite (Gilliéron, op. cit., n. 8 ad art. 67 LP).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le titre doit être accompagné de l’indication de sa date, par quoi il faut entendre le jour de la naissance de la prétention et non de son échéance (qui peut d’ailleurs être multiple ou périodique) ou de son exigibilité (TF 5A_586/2008 du 22 octobre 2008, c. 3; TC BS, in BlSchK 1993, p. 59 s; ATF 78 III 12, JT 1952 II 142; Gilliéron, op. cit., n. 76 ad art. 67 LP; Kofmel Ehrenzeller, loc. cit.). A défaut de titre, la loi prévoit que le poursuivant indique la "cause de l’obligation", soit la source de l’obligation – acte générateur d’obligations, acte juridique, acte illicite, etc. Le but de cette exigence n’est pas de permettre à l’office de procéder à un examen de l’existence de la prétention, mais de satisfaire à un besoin de clarté et d’information du poursuivi; il s’agit de le renseigner sur la créance alléguée et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Oform édictée par le Tribunal fédéral en 1996 (cf. supra, consid. III a)) avait pour but d’uniformiser l’application de la LP et de ses ordonnances d’application par l’utilisation de formulaires (art. 1 al. 1 Oform). Cette ordonnance est toujours en vigueur (art. 4 OHS-LP; cf. infra, consid. V c) dd)).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Conformément aux art. 8 et 9 Oform, les offices tiennent un registre des réquisitions, notamment des réquisition de poursuite, lesquelles sont inscrites dans leur ordre d’arrivée, avec mention de la date de celle-ci.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Une fois que le commandement de payer est établi, l’office doit le notifier au poursuivi (art. 71 al. 1 et 178 al. 1 LP) – sous réserve des cas de défaut (cf. ci-dessous cc)). Ce n’est qu’avec la notification du commandement de payer que débute la procédure de poursuite (Kofmel/Ehrenzeller, op. cit., n. 47 ad art. 67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b) En l’espèce, il n’est pas contesté que les deux réquisitions de poursuite litigieuses, datées respectivement des</w:t>
      </w:r>
    </w:p>
    <w:p>
      <w:r>
        <w:rPr>
          <w:b/>
        </w:rPr>
        <w:t>E. 11</w:t>
      </w:r>
    </w:p>
    <w:p>
      <w:r>
        <w:t>et 17 mars 2014,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pour les deux réquisitions, un changement dans son programme informatique qui induirait trois conséquences : l’impossibilité de "passer" des acomptes, la limitation des "champs" prévus pour enregistrer le titre et la cause des créances à "680" caractères pour la première créance et "80" pour les suivantes et la limitation du nombre des créances à dix; il a dès lors invité la recourante à rectifier "dans ce sens" les deux réquisitions de poursuite. Or, si les deux réquisitions mentionnaient des acomptes, seule la seconde comptait plus de dix créances; en outre, aucune des causes indiquées, dans l'une ou l'autre réquisition, ne comportait plus de six cent huitante, respectivement de huitante caractères. Quoi qu’il en soit, l’Office n’a pas indiqué la base légale ou réglementaire qui justifiait une modification du programme informatique en cause.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mais pas l’impossibilité d’enregistrer des acomptes. En outre, elle est entrée en vigueur le 1 er mai 2014, soit après que l’Office a pris les décisions en cause. Elle ne pouvait donc pas servir de fondement juridique à ces décisions. bb) Il semble en réalité que la modification du formulaire de commandement de payer ait été anticipée par le biais du projet "e-LP". Or, ainsi qu'on peut le comprendre à la lecture des "Bulletins d’informations sur le projet e-LP" n os 1 à 14, accessibles sur internet, et de l’art. 1 de l’ordonnance sur la communication électronique LP (cf. supra, ch. 2 a)), ce projet avait initialement pour but de régler les spécifications techniques, les modalités d’organisation et le format des données applicables à l’échange de documents en matière de poursuite et de faillite entre les créanciers et les offices au sein d’un réseau (le réseau e-LP). C’est dans ce cadre qu’il a été décidé de traiter l’ensemble de la poursuite par voie électronique. Mais cette décision n’impliquait pas encore de modifier le formulaire du commandement de payer. Quoi qu’il en soit, à un moment donné, il semble que les deux choses ont été liées, le Service de haute surveillance en matière de poursuite et faillite travaillant conjointement avec la direction du projet e-LP, comme l’extrait qui suit du Bulletin d’information sur le projet e-LP n° 14, du mois de janvier 2014, permet de le comprendre : " Analyse de la situation Le service haute surveillance LP et la direction du projet e-LP ne remettent nullement en cause les efforts consentis par les cantons, les offices des poursuites et les fournisseurs de logiciels pour permettre la mise en œuvre de la nouvelle version dans les temps. (…) Le développement des logiciels a également pris du retard. Les fournisseurs ont dû faire face au cours des dernières semaines à des exigences supplémentaires liées notamment à l’uniformisation au plan suisse des formulaires pour le commandement de payer et la demande d’extrait du registre des poursuites. Ces formulaires standard deviendront obligatoires en même temps que la version 2.0, si bien qu’il faut les intégrer aux nouveaux logiciels." Il apparaît donc que la version 2.0 d’e-LP, spécifiée à l’art. 5 al. 2 et 3 de l’ordonnance sur la communication électronique LP, doit selon toute vraisemblance contenir informatiquement les modifications litigieuses du formulaire du commandement de payer. C’est du moins ce que laissent entendre l’extrait de l’intranet de l’Etat de Vaud reproduit plus haut intitulé "j) limitation des créances" et le courriel d’explications que le Délégué aux affaires des OPF a adressé le 24 mars 2014 aux préposés vaudois (cf. supra, ch. 2 b)). C’est également ce que l’Office expose dans les décisions querellées, puisqu’il ne fait mention que de la modification d’un programme informatique qui le briderait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On peut se demander si l'intention du Service de haute surveillance en matière de poursuite et faillite était que l’art. 5 de l’ordonnance sur la communication électronique LP – qui définit ce qu’est la version 2.0 d’e-LP – puisse servir de base légale à la modification du formulaire de commandement de payer avant le 1 er mai 2014, afin de justifier cette modification dans les cantons qui l’avaient intégrée de fait avant cette date en mettant en oeuvre la version 2.0. On peut également se demander si le chiffre 21 de l’Instruction n o 2 du 15 avril 2014 - qui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 n’a pas pour but de justifier une entrée en vigueur rétroactive pour ces mêmes cantons qui ont intégré la version 2.0 avant la date formelle de l’entrée en vigueur de la directive. La réponse aux deux questions qui précèdent ne peut qu’être négative.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Or, l’art. 5 al. 2 et 3 de l’ordonnance sur la communication électronique LP ne constitue pas une base légale claire pour une modification du contenu du commandement de payer ni, par ricochet, de celui de la réquisition de poursuite. En outre, l’entrée en vigueur de telles modifications par le biais de l’informatique ne pouvait se justifier a posteriori, par l’introduction d’une directive prévoyant un éventuel effet rétroactif.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Il s'ensuit que ni l’ordonnance sur la communication électronique LP ni, pour les réquisitions déposées avant son entrée en vigueur le 1 er mai 2014, l’Instruction n° 2 ne peuvent constituer des bases légales pour les deux décisions litigieuses. d) En conclusion, les art. 67 LP et 3 al. 2 Oform ayant été violés, les plaintes sont bien fondées. La décision de l’autorité inférieure de surveillance doit ainsi être réformée en ce sens que les plaintes sont admises et le dossier renvoyé à l’office afin qu’il rédige et notifie les commandements de payer relatifs aux réquisitions datées des 11 et 17 mars 2014 conformément aux art. 69 à 71 LP. V. a) Il reste à se demander si l’Instruction n° 2 est une norme suffisante pour introduire un formulaire type de commandement de payer supprimant la possibilité d’intégrer des acomptes et limitant le nombre de créances à dix et si elle peut valablement étendre son effet à l’établissement des réquisitions de poursuite. Si la question ne se pose pas directement en l'espèce, l’hypothèse où l'Instruction n° 2 pourrait avoir un effet rétroactif valable au jour où le software de l’Office a été modifié étant écartée par la cour de céans (cf. supra, consid. IV c) cc)), elle se posera en revanche immanquablement pour les décisions que les offices vaudois ont prises dans le même sens, le cas échéant, dès le 1 er mai 2014. En outre, la recourante soulève expressément le moyen tiré de l’irrégularité de l’Instruction n° 2. b) Toutes les autorités, fédérales et cantonales, chargées d'appliquer les ordonnances du Conseil fédéral peuvent exercer un contrôle préjudiciel concret, à l’occasion d’un recours dirigé contre un acte d’application individuel; il ne s’agit d’ailleurs pas d’une faculté mais d’une obligation et l’autorité qui refuse d’examiner la régularité d’une ordonnance du Conseil fédéral, alors que le recourant a valablement soulevé ce moyen, commet un déni de justice (Auer et alii, op. cit., nn. 1966 à 1970). L’étendue de cet examen dépend cependant du type d’ordonnance en cause. La jurisprudence et la doctrine distinguent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 bb) Les ordonnances de substitution sont quant à elles édictées en fonction d’une délégation législative, par laquelle la loi "autorise" le Conseil fédéral à édicter des règles de droit sous la forme d’ordonnance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 c)aa) Depuis le 1 er janvier 2007, l’art. 15 LP dispose que le Conseil fédéral exerce la haute surveillance en matière de poursuite et de faillite et pourvoit à l’application uniforme de la loi (al. 1); il édicte les règlements et ordonnances d’exécution nécessaires (al. 2); il peut donner des instructions aux autorités cantonales de surveillance (al. 3); il coordonne la communication électronique entre les offices des poursuites et des faillites, du registre foncier et du registre du commerce, les tribunaux et les particuliers (al. 5, entré en vigueur le 1 er janvier 2011). Le Conseil fédéral exerce la haute surveillance par l'intermédiaire de l'OFJ (art. 1 OHS-LP). Selon cette disposition, le service chargé de la haute surveillance en matière de LP est habilité de manière autonome à, notamment : - édicter des instructions, des directives et des recommandations à l’intention des autorités cantonales de surveillance, des offices des poursuites et des faillites et des organes d’exécution privés, dans le but de pourvoir à l’application correcte et uniforme de la LP; - élaborer des modèles de formulaires utilisés dans la procédure de poursuite et de faillite. Ainsi, le Conseil fédéral a délégué la haute surveillance en matière de LP à l'OFJ, en précisant même qu’un service de cet office était habilité à édicter des instructions de manière autonome et à élaborer des modèles de formulaires. Il apparaît donc que c’est en vertu d’une délégation de compétence formellement valable que l’Instruction n° 2 a été édictée par le Service de haute surveillance en matière de poursuite et faillite. bb) Cela étant, il reste à définir le type d'actes édictés par ce service, plus précisément à déterminer s'il s'agit d'ordonnances d'exécution, voire de substitution, édictées dans le cadre de l'art. 15 al. 2 LP, ou d'ordonnances  administratives, s'inscrivant dans le cadre de l'art. 15 al. 3 LP, soit d'instructions ne s’adressant qu’aux autorités cantonales de surveillance. aaa)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(TF 4A_68/2014, c. 5.2.1 du 16 juin 2014, à paraître aux ATF; ATF 138 III 166 c. 3.2; 136 III 283 c. 2.3.1; 135 III 640 c. 2.3.1). Lorsqu'il est appelé à interpréter une loi, le Tribunal fédéral adopte une position pragmatique en suivant ces différentes interprétations, sans les soumettre à un ordre de priorité (ATF 137 III 344 c. 5.1; 133 III 257 c. 2.4; 131 III 623 c. 2.4.4 et les références). bbb) En l’occurrence, le Service de haute surveillance en matière de poursuite et faillite a intitulé l’acte en cause "Instruction". En outre, les chiffres 20 et 21 de l’Instruction n° 2 disent de celle-ci qu’elle est une "directive". Ainsi, de par sa lettre, l’acte en cause relève de l’art. 15 al. 3 LP, soit de l’ordonnance administrative, plutôt que de l’art. 15 al. 2 LP.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contrairement aux ordonnances mentionnées plus haut du Conseil fédéral, du Tribunal fédéral et même du DFJP. C’est ainsi que, pareillement, le site de l’administration fédérale, plus précisément la page sur laquelle sont énumérés toutes les bases légales en matière de poursuite pour dette et faillite, ne mentionne pas l’instruction en cause (http://www.ejpd.admin.ch/content/ejpd/fr/home/themen/wirtschaft/ref_schkg/ref_rechtsgrundlagen.html).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cc)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Or, à cet égard, les chiffres 13 et 14 sont problématiques. Leur teneur est la suivante : "</w:t>
      </w:r>
    </w:p>
    <w:p>
      <w:r>
        <w:rPr>
          <w:b/>
        </w:rPr>
        <w:t>E. 13</w:t>
      </w:r>
    </w:p>
    <w:p>
      <w:r>
        <w:t>Aperçu des créances donnant lieu à poursuite : Ce champ indique l’ensemble des créances sur lesquelles porte la poursuite (dix au maximum). Si la poursuite porte sur un nombre plus important de créances, il convient de les regrouper. Il n’y pas lieu d’indiquer le montant des intérêts moratoires, qui augmente constamment. Le créancier peut additionner les intérêts moratoires dus jusqu’à la date de la poursuite et en faire une créance séparée.</w:t>
      </w:r>
    </w:p>
    <w:p>
      <w:r>
        <w:rPr>
          <w:b/>
        </w:rPr>
        <w:t>E. 14</w:t>
      </w:r>
    </w:p>
    <w:p>
      <w:r>
        <w:t>1 e créance : le champ de la 1 e créance est plus large afin que le créancier puisse motiver sa créance principale; l’explication doit valoir pour l’ensemble des créances indiquées." On relève d'emblée que, parmi les éléments mentionnés par l’Office pour motiver ses décisions (plus de possibilité de mentionner des acomptes, longueur du "motif" de la créance limité à "680" caractères pour la première, respectivement à "80" pour les suivantes, et limitation à "10" créances), seule la limitation à dix créances est expressément mentionnée dans l’Instruction n° 2. Comme le fait pertinemment remarquer la recourante, aucun chiffre de cette directive ne fait état de l’impossibilité de mentionner dans le commandement de payer la déduction d’acomptes payés sur les sommes réclamées. S'il est désormais impossible de le faire, comme le soutient l'Office, pour des raisons informatiques, on doit alors constater que cela est uniquement imposé par la dernière version du programme Themis, voire la version 2.0 de la norme e-LP, mais ne repose sur aucune base légale, pas même sur une ordonnance administrative. Or, comme déjà dit (cf. supra, c. IV a) aa)), la jurisprudence du Tribunal fédéral a clairement posé que, sur la réquisition de poursuite, le poursuivant pouvait déduire de sa prétention des acomptes, aux fins de faire courir sur chacun de ceux-ci un intérêt moratoire. Le Service de haute surveillance en matière de poursuite et faillite ne saurait donc totalement supprimer cette faculté sous couvert d’élaboration de la version informatique d’un nouveau formulaire de commandement de payer, sauf à empêcher le créancier de faire valoir de manière claire (sans être contraint de la capitaliser) sa prétention en intérêt moratoire relative à chaque acompte. Quant à la limitation à dix créances, elle excède aussi le cadre strict de l’application de la LP et introduit de fait une nouvelle règle de droit. Cette règle a notamment pour conséquence pratique de contraindre les créanciers d’obligations périodiques non payées (bailleurs, assureurs, créanciers de pensions alimentaires, etc.) de déposer plusieurs réquisitions de poursuite au lieu d’une, avec les conséquences financières qui s’ensuivent non seulement au niveau administratif mais également au niveau des émoluments dont ils doivent s’acquitter envers l’office pour la rédaction, l’enregistrement et la notification de chaque commandement de payer (art. 16 et 68 LP; art. 16 OELP [ordonnance sur les émoluments perçus en application de la LP; RS 281.35]). Quant à la limitation de la taille des champs consacrés au titre et à la cause de l’obligation, elle ne figure pas non plus de manière claire dans l’Instruction n° 2. Le chiffre 14 mentionne que "le champ de la première créance est plus large", mais pas qu’il est limité ni que celui des autres créances l’est encore plus drastiquement. Comme déjà relevé, le nombre de caractères indiqué par l’Office dans sa décision ("680" et "80") ne figure pas dans l’Instruction n° 2. Si cette limitation existe vraiment, il faudrait constater ici encore qu'elle est uniquement imposée par la dernière version du programme Themis, voire la version 2.0 de la norme e-LP, mais ne repose sur aucune base légale, pas même sur une ordonnance administrative . Au demeurant, même si le Service de haute surveillance avait mentionné précisément cette limitation dans son instruction, force serait de constater que celle-ci ne déploierait ainsi pas que des effets pour l’administration et créerait de nouvelles règles de droit, dès lors qu'il n’est pas exclu que cette limitation ait pour conséquence d’empêcher le créancier dont le titre ou la cause de la première créance excéderait six cent huitante caractères, respectivement dont le titre ou la cause des créances suivantes excéderait huitante caractères, de poursuivre l’exécution forcée desdites créances. Une telle réglementation irait donc à l’encontre du but de la LP et, particulièrement, des art. 67 ss LP.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dd) On doit enfin relever, avec la recourante, que l’Instruction n° 2 introduit un nouveau formulaire pour les commandements de payer, mais ne dit absolument rien de la forme ou du contenu des réquisitions de poursuite et, en particulier, n’introduit pas un nouveau formulaire pour ces réquisitions. Or, comme dit plus haut (cf. consid. IV a) bb)), l’art. 67 al. 1 LP précise que les réquisitions de poursuite peuvent être faites verbalement par le créancier, ce que répète l’art. 3 al. 1 Oform qui stipule même qu’aucun formulaire n’est obligatoire. Or, l’art. 3 Oform n’a pas été modifié ou abrogé par une ordonnance ultérieure du Conseil fédéral, du DFJP ou de l’un de ses services, et l’OHS-LP ne lui est pas contraire (cf. art. 4 OHS-LP). Il demeure donc en vigueur. Il s’ensuit qu’en l’état de la législation, il n'est pas possible de poser des exigences sur la forme et encore moins sur le contenu de la réquisition de poursuite qui ne figurent pas à l’art. 67 LP, que ce soit par le biais d’une instruction, d’un formulaire pour le commandement de payer, voire, a fortiori, par le biais d’un programme informatique. VI. En conclusion, le recours doit être admis, le prononcé réformé en ce sens que les plaintes sont admises et le dossier renvoyé à l’Office intimé pour qu’il établisse et notifie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