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32 vom 30. Juli 2014</w:t>
      </w:r>
    </w:p>
    <w:p>
      <w:r>
        <w:t>VD Tribunal cantonal, 2014-07-30, FR</w:t>
      </w:r>
    </w:p>
    <w:p>
      <w:r>
        <w:rPr>
          <w:b/>
        </w:rPr>
        <w:t xml:space="preserve">Quelle: </w:t>
      </w:r>
      <w:r>
        <w:t>https://mcp.opencaselaw.ch/entscheid/vd_findinfo_Plainte___2014___32</w:t>
      </w:r>
    </w:p>
    <w:p>
      <w:r>
        <w:t>FR: VD_FINDINFO Plainte / 2014 / 32 du 30 juillet 2014</w:t>
      </w:r>
    </w:p>
    <w:p>
      <w:r>
        <w:t>IT: VD_FINDINFO Plainte / 2014 / 32 del 30 luglio 2014</w:t>
      </w:r>
    </w:p>
    <w:p>
      <w:pPr>
        <w:pStyle w:val="Heading2"/>
      </w:pPr>
      <w:r>
        <w:t>Regeste</w:t>
      </w:r>
    </w:p>
    <w:p>
      <w:r>
        <w:t>COMMUNAUTÉ HÉRÉDITAIRE, DISSOLUTION DE LA SOCIÉTÉ, LIQUIDATION{EN GÉNÉRAL}, PART DE LIQUIDATION, RÉALISATION{EN GÉNÉRAL}, RÉALISATION{LP} | 132 al. 1 LP, 132 al. 3 LP, 17 LP, 10 OPC</w:t>
      </w:r>
    </w:p>
    <w:p>
      <w:pPr>
        <w:pStyle w:val="Heading2"/>
      </w:pPr>
      <w:r>
        <w:t>Erwägungen</w:t>
      </w:r>
    </w:p>
    <w:p>
      <w:r>
        <w:rPr>
          <w:b/>
        </w:rPr>
        <w:t>E. 1</w:t>
      </w:r>
    </w:p>
    <w:p>
      <w:r>
        <w:t>LP; 28 al. 1 et 73 al. 3  LVLP [loi d'application dans le Canton de Vaud de la loi fédérale sur la poursuite pour dettes et la faillite du 18 mai 1955; RSV 280.05]) et comporte des conclusions et l'énoncé de moyens invoqués (art. 28 al. 3 LVLP), de sorte qu'il est recevable. Les déterminations de l'office d'impôt et de l'office des poursuites sont également recevables (art. 31 LVLP). II. a) Aux termes de l'art. 9 al. 1 OPC (Ordonnance du Tribunal fédéral concernant la saisie et la réalisation de parts de communauté du 17 janvier 1923; RS 281.41),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Si l'entente amiable recherchée a échoué, l'office des poursuites ou l'autorité qui a conclu les pourparlers invite les créanciers saisissants, le débiteur et les membres de la communauté à lui soumettre, dans les dix jours, leurs propositions en vue des mesures ultérieures de réalisation (art. 10 al. 1 1 ère phrase OPC). Après l'expiration du délai, le dossier complet de la poursuite est transmis à l'autorité de surveillance; celle-ci peut entamer à nouveau des pourparlers de conciliation (art. 10 al. 1 in fine OPC).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 132 al. 3 LP (ATF 96 III 10 c.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Dans la règle, la vente aux enchères ne doit être ordonnée que si la valeur de la part saisie peut être déterminée approximativement au moyen des renseignements obtenus lors de la saisie ou au cours des pourparlers amiables (art. 10 al. 3 OPC). Le choix entre les deux modes de réalisation relève de l'opportunité (TF 5A_478/2012 du 14 août 2012 c. 3.1; ATF 135 III 179 c. 2.1; ATF 96 III 10 c. 2 précité). L’avis émis le cas échéant par les membres d’une communauté quant au mode de réalisation ne lie pas l’autorité de surveillance (Peter, Edition annotée de la loi fédérale sur la poursuite pour dettes et la faillite, Berne 2010, ad art. 132 LP, p. 663; cf. ATF 135 III 179 précité). Le résultat d'une vente ne dépend pas seulement de la valeur comptable d'un objet. Le prix que l'on peut obtenir de n'importe quel bien dépend de son caractère immédiatement réalisable ou non. La dissolution et le partage doivent ainsi être préférés lorsque la réalisation de la part de communauté risque de se faire à vil prix (TF 5A_478/2012 c. 3.1 précité; ATF 135 III 179 c. 2.4 précité; Gilliéron, Commentaire de la loi fédérale sur la poursuite pour dettes et la faillite, 2006, n os 32 et 34 ad art. 132 LP). b) En l’espèce, la procédure décrite ci-dessus a été suivie. Il ressort du procès-verbal tenu par l'Office des poursuites du district de la Broye – Vully le 1 er juillet 2013 que le débiteur et certains créanciers ne se sont pas présentés à la séance de conciliation de sorte qu'aucun accord n'a pu être trouvé. Le poursuivi n'a fait aucune proposition pendant le délai de dix jours suivant la tenue de cette audience. Une fois saisie, l'autorité inférieure de surveillance a accordé successivement trois délais au poursuivi, afin que ce dernier puisse obtenir un crédit lui permettant de désintéresser ses créanciers. Cependant, le recourant n'a pas obtenu ces financements. Dès lors, il convenait bien, comme l'a fait le premier juge, de fixer le mode de réalisation des droits du poursuivi dans la succession de feu D.P.________. En l'occurrence, la succession est essentiellement formée de deux immeubles. Comme l'a relevé le premier juge, une vente aux enchères de la part de succession indivise revenant au recourant, qui se ferait vraisemblablement à vil prix, paraît nettement moins profitable économiquement pour les intéressés que la dissolution de la communauté héréditaire et la liquidation du patrimoine commun, opérations qui seraient de toute manière réclamées par tout acquéreur aux enchères. C'est également à juste titre que le premier juge a chargé l'office de prendre toute mesure utile pour procéder au partage. La Cour des poursuites et faillites a en effet considéré que le rôle de l’autorité de surveillance, dans le cadre d’une procédure de fixation du mode de réalisation d'une part de communauté se limite au choix de ce mode; si elle ordonne la dissolution et la liquidation d'une hoirie, c’est à l’office des poursuites qu’il appartient ensuite de requérir le partage auprès du juge compétent (JT 2003 II 69 c. 2 c; CPF, 14 mai 2003/20 c. 2 d). Ce sera ainsi à l’office de requérir des créanciers poursuivants l’avance des frais, après que ceux-ci lui auront été demandés par le juge du partage (arrêt précité, c. 2 e). Cette solution avait déjà été jugée conforme au droit fédéral par le Tribunal fédéral (arrêt du TF 7B.76/2002 du 1 er juillet 2002). En conclusion, le prononcé est bien fondé. Il n'y a aucune raison de suspendre la procédure de réalisation, comme le demande le recourant. Elle l'a d'ailleurs déjà été, en vain. III. Le recours doit donc être rejeté et le prononcé confirmé. L’arrêt est rendu sans frais ni dépens (art.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